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方正小标宋简体"/>
          <w:sz w:val="44"/>
          <w:szCs w:val="44"/>
          <w:lang w:eastAsia="zh-CN"/>
        </w:rPr>
      </w:pPr>
      <w:r>
        <w:rPr>
          <w:rFonts w:hint="eastAsia" w:eastAsia="方正小标宋简体"/>
          <w:sz w:val="44"/>
          <w:szCs w:val="44"/>
          <w:lang w:eastAsia="zh-CN"/>
        </w:rPr>
        <w:t>湖北省农业科学院南湖试验站</w:t>
      </w:r>
    </w:p>
    <w:p>
      <w:pPr>
        <w:spacing w:line="360" w:lineRule="auto"/>
        <w:jc w:val="center"/>
        <w:rPr>
          <w:rFonts w:eastAsia="方正小标宋简体"/>
          <w:sz w:val="36"/>
          <w:szCs w:val="36"/>
        </w:rPr>
      </w:pPr>
      <w:r>
        <w:rPr>
          <w:rFonts w:hint="eastAsia" w:eastAsia="方正小标宋简体"/>
          <w:sz w:val="44"/>
          <w:szCs w:val="44"/>
        </w:rPr>
        <w:t>202</w:t>
      </w:r>
      <w:r>
        <w:rPr>
          <w:rFonts w:hint="eastAsia" w:eastAsia="方正小标宋简体"/>
          <w:sz w:val="44"/>
          <w:szCs w:val="44"/>
          <w:lang w:val="en-US" w:eastAsia="zh-CN"/>
        </w:rPr>
        <w:t>3</w:t>
      </w:r>
      <w:r>
        <w:rPr>
          <w:rFonts w:eastAsia="方正小标宋简体"/>
          <w:sz w:val="44"/>
          <w:szCs w:val="44"/>
        </w:rPr>
        <w:t>年度部门决算</w:t>
      </w:r>
    </w:p>
    <w:p>
      <w:pPr>
        <w:shd w:val="clear" w:color="auto" w:fill="FFFFFF"/>
        <w:spacing w:before="240" w:after="240" w:line="360" w:lineRule="auto"/>
        <w:ind w:firstLine="640"/>
        <w:jc w:val="center"/>
        <w:rPr>
          <w:rFonts w:eastAsia="方正小标宋简体"/>
          <w:sz w:val="36"/>
          <w:szCs w:val="36"/>
        </w:rPr>
      </w:pPr>
      <w:r>
        <w:rPr>
          <w:rFonts w:eastAsia="方正小标宋简体"/>
          <w:sz w:val="36"/>
          <w:szCs w:val="36"/>
        </w:rPr>
        <w:t>目    录</w:t>
      </w:r>
    </w:p>
    <w:p>
      <w:pPr>
        <w:shd w:val="clear" w:color="auto" w:fill="FFFFFF"/>
        <w:spacing w:before="240" w:after="240" w:line="360" w:lineRule="auto"/>
        <w:ind w:firstLine="640"/>
        <w:rPr>
          <w:rFonts w:eastAsia="黑体"/>
        </w:rPr>
      </w:pPr>
      <w:r>
        <w:rPr>
          <w:rFonts w:eastAsia="黑体"/>
          <w:sz w:val="32"/>
          <w:szCs w:val="32"/>
        </w:rPr>
        <w:t xml:space="preserve">第一部分  </w:t>
      </w:r>
      <w:r>
        <w:rPr>
          <w:rFonts w:hint="eastAsia" w:eastAsia="黑体"/>
          <w:sz w:val="32"/>
          <w:szCs w:val="32"/>
          <w:lang w:eastAsia="zh-CN"/>
        </w:rPr>
        <w:t>湖北省农业科学院南湖试验站</w:t>
      </w:r>
      <w:r>
        <w:rPr>
          <w:rFonts w:eastAsia="黑体"/>
          <w:sz w:val="32"/>
          <w:szCs w:val="32"/>
        </w:rPr>
        <w:t>概况</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一、部门主要</w:t>
      </w:r>
      <w:r>
        <w:rPr>
          <w:bCs/>
          <w:sz w:val="32"/>
          <w:szCs w:val="32"/>
        </w:rPr>
        <w:t>职责</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二、机构设置情况</w:t>
      </w:r>
    </w:p>
    <w:p>
      <w:pPr>
        <w:shd w:val="clear" w:color="auto" w:fill="FFFFFF"/>
        <w:spacing w:before="240" w:after="240" w:line="360" w:lineRule="auto"/>
        <w:ind w:firstLine="640"/>
      </w:pPr>
      <w:r>
        <w:rPr>
          <w:rFonts w:eastAsia="黑体"/>
          <w:sz w:val="32"/>
          <w:szCs w:val="32"/>
        </w:rPr>
        <w:t>第二部分 </w:t>
      </w:r>
      <w:r>
        <w:rPr>
          <w:rFonts w:hint="eastAsia" w:eastAsia="黑体"/>
          <w:sz w:val="32"/>
          <w:szCs w:val="32"/>
        </w:rPr>
        <w:t xml:space="preserve"> </w:t>
      </w:r>
      <w:r>
        <w:rPr>
          <w:rFonts w:hint="eastAsia" w:eastAsia="黑体"/>
          <w:sz w:val="32"/>
          <w:szCs w:val="32"/>
          <w:lang w:eastAsia="zh-CN"/>
        </w:rPr>
        <w:t>湖北省农业科学院南湖试验站</w:t>
      </w:r>
      <w:r>
        <w:rPr>
          <w:rFonts w:hint="eastAsia" w:eastAsia="黑体"/>
          <w:sz w:val="32"/>
          <w:szCs w:val="32"/>
        </w:rPr>
        <w:t>202</w:t>
      </w:r>
      <w:r>
        <w:rPr>
          <w:rFonts w:hint="eastAsia" w:eastAsia="黑体"/>
          <w:sz w:val="32"/>
          <w:szCs w:val="32"/>
          <w:lang w:val="en-US" w:eastAsia="zh-CN"/>
        </w:rPr>
        <w:t>3</w:t>
      </w:r>
      <w:r>
        <w:rPr>
          <w:rFonts w:eastAsia="黑体"/>
          <w:sz w:val="32"/>
          <w:szCs w:val="32"/>
        </w:rPr>
        <w:t>年度部门决算表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一、收入支出决算总表</w:t>
      </w:r>
      <w:bookmarkStart w:id="0" w:name="_GoBack"/>
      <w:bookmarkEnd w:id="0"/>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五、一般公共预算财政拨款支出决算表</w:t>
      </w:r>
    </w:p>
    <w:p>
      <w:pPr>
        <w:adjustRightInd w:val="0"/>
        <w:snapToGrid w:val="0"/>
        <w:spacing w:line="360" w:lineRule="auto"/>
        <w:ind w:right="-512" w:rightChars="-244" w:firstLine="640" w:firstLineChars="200"/>
      </w:pPr>
      <w:r>
        <w:rPr>
          <w:rFonts w:eastAsia="仿宋_GB2312"/>
          <w:bCs/>
          <w:sz w:val="32"/>
          <w:szCs w:val="32"/>
        </w:rPr>
        <w:t>六、一般公共预算财政拨款基本支出决算明细表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七、政府性基金预算财政拨款收入支出决算表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八、国有资本经营预算财政拨款支出决算表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九、财政拨款“三公”经费支出决算表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十、财政专项支出决算表</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十一、专项转移支付分市县情况表</w:t>
      </w:r>
    </w:p>
    <w:p>
      <w:pPr>
        <w:shd w:val="clear" w:color="auto" w:fill="FFFFFF"/>
        <w:spacing w:before="240" w:after="240" w:line="360" w:lineRule="auto"/>
        <w:ind w:firstLine="640"/>
        <w:rPr>
          <w:rFonts w:eastAsia="黑体"/>
          <w:sz w:val="32"/>
          <w:szCs w:val="32"/>
        </w:rPr>
      </w:pPr>
      <w:r>
        <w:rPr>
          <w:rFonts w:eastAsia="黑体"/>
          <w:sz w:val="32"/>
          <w:szCs w:val="32"/>
        </w:rPr>
        <w:t>第三部分 </w:t>
      </w:r>
      <w:r>
        <w:rPr>
          <w:rFonts w:hint="eastAsia" w:eastAsia="黑体"/>
          <w:sz w:val="32"/>
          <w:szCs w:val="32"/>
        </w:rPr>
        <w:t xml:space="preserve"> </w:t>
      </w:r>
      <w:r>
        <w:rPr>
          <w:rFonts w:hint="eastAsia" w:eastAsia="黑体"/>
          <w:sz w:val="32"/>
          <w:szCs w:val="32"/>
          <w:lang w:eastAsia="zh-CN"/>
        </w:rPr>
        <w:t>湖北省农业科学院南湖试验站</w:t>
      </w:r>
      <w:r>
        <w:rPr>
          <w:rFonts w:hint="eastAsia" w:eastAsia="黑体"/>
          <w:sz w:val="32"/>
          <w:szCs w:val="32"/>
        </w:rPr>
        <w:t>202</w:t>
      </w:r>
      <w:r>
        <w:rPr>
          <w:rFonts w:hint="eastAsia" w:eastAsia="黑体"/>
          <w:sz w:val="32"/>
          <w:szCs w:val="32"/>
          <w:lang w:val="en-US" w:eastAsia="zh-CN"/>
        </w:rPr>
        <w:t>3</w:t>
      </w:r>
      <w:r>
        <w:rPr>
          <w:rFonts w:eastAsia="黑体"/>
          <w:sz w:val="32"/>
          <w:szCs w:val="32"/>
        </w:rPr>
        <w:t>年度部门决算情况说明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一、收入支出决算总体情况说明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四、财政拨款收入支出决算总体情况说明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六、一般公共预算财政拨款基本支出决算情况说明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七、政府性基金预算财政拨款收入支出决算情况说明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八、国有资本经营预算财政拨款支出决算情况说明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 xml:space="preserve">九、财政拨款“三公”经费支出决算情况说明 </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十、机关运行经费支出说明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十一、政府采购支出说明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十二、国有资产占用情况说明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十三、预算绩效情况说明</w:t>
      </w:r>
    </w:p>
    <w:p>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十四、财政专项支出、专项转移支付支出情况说明</w:t>
      </w:r>
    </w:p>
    <w:p>
      <w:pPr>
        <w:adjustRightInd w:val="0"/>
        <w:snapToGrid w:val="0"/>
        <w:spacing w:line="360" w:lineRule="auto"/>
        <w:ind w:right="-512" w:rightChars="-244" w:firstLine="640" w:firstLineChars="200"/>
        <w:rPr>
          <w:rFonts w:eastAsia="仿宋_GB2312"/>
          <w:bCs/>
          <w:sz w:val="32"/>
          <w:szCs w:val="32"/>
        </w:rPr>
      </w:pPr>
    </w:p>
    <w:p>
      <w:pPr>
        <w:shd w:val="clear" w:color="auto" w:fill="FFFFFF"/>
        <w:spacing w:before="240" w:after="240" w:line="360" w:lineRule="auto"/>
        <w:ind w:firstLine="640"/>
        <w:rPr>
          <w:rFonts w:eastAsia="黑体"/>
          <w:sz w:val="32"/>
          <w:szCs w:val="32"/>
        </w:rPr>
      </w:pPr>
      <w:r>
        <w:rPr>
          <w:rFonts w:eastAsia="黑体"/>
          <w:sz w:val="32"/>
          <w:szCs w:val="32"/>
        </w:rPr>
        <w:t>第四部分  其他需要说明的情况</w:t>
      </w:r>
    </w:p>
    <w:p>
      <w:pPr>
        <w:shd w:val="clear" w:color="auto" w:fill="FFFFFF"/>
        <w:spacing w:before="240" w:after="240" w:line="360" w:lineRule="auto"/>
        <w:ind w:firstLine="640"/>
        <w:rPr>
          <w:rFonts w:eastAsia="黑体"/>
          <w:sz w:val="32"/>
          <w:szCs w:val="32"/>
        </w:rPr>
      </w:pPr>
      <w:r>
        <w:rPr>
          <w:rFonts w:eastAsia="黑体"/>
          <w:sz w:val="32"/>
          <w:szCs w:val="32"/>
        </w:rPr>
        <w:t>第五部分  名词解释</w:t>
      </w:r>
    </w:p>
    <w:p>
      <w:pPr>
        <w:shd w:val="clear" w:color="auto" w:fill="FFFFFF"/>
        <w:spacing w:before="240" w:after="240" w:line="360" w:lineRule="auto"/>
        <w:ind w:firstLine="640"/>
        <w:rPr>
          <w:rFonts w:eastAsia="黑体"/>
          <w:sz w:val="32"/>
          <w:szCs w:val="32"/>
        </w:rPr>
      </w:pPr>
      <w:r>
        <w:rPr>
          <w:rFonts w:eastAsia="黑体"/>
          <w:sz w:val="32"/>
          <w:szCs w:val="32"/>
        </w:rPr>
        <w:t>第六部分  附件</w:t>
      </w:r>
    </w:p>
    <w:p>
      <w:pPr>
        <w:shd w:val="clear" w:color="auto" w:fill="FFFFFF"/>
        <w:spacing w:before="240" w:after="240" w:line="360" w:lineRule="auto"/>
        <w:rPr>
          <w:rFonts w:eastAsia="黑体"/>
          <w:sz w:val="32"/>
          <w:szCs w:val="32"/>
        </w:rPr>
      </w:pPr>
    </w:p>
    <w:p>
      <w:pPr>
        <w:rPr>
          <w:rFonts w:eastAsia="方正小标宋简体"/>
          <w:sz w:val="44"/>
          <w:szCs w:val="44"/>
        </w:rPr>
      </w:pPr>
    </w:p>
    <w:p>
      <w:pPr>
        <w:numPr>
          <w:ilvl w:val="0"/>
          <w:numId w:val="1"/>
        </w:numPr>
        <w:spacing w:line="560" w:lineRule="exact"/>
        <w:jc w:val="center"/>
        <w:rPr>
          <w:rFonts w:eastAsia="方正小标宋简体"/>
          <w:sz w:val="44"/>
          <w:szCs w:val="44"/>
        </w:rPr>
      </w:pPr>
      <w:r>
        <w:rPr>
          <w:rFonts w:eastAsia="方正小标宋简体"/>
          <w:sz w:val="44"/>
          <w:szCs w:val="44"/>
        </w:rPr>
        <w:t xml:space="preserve"> 部门概况</w:t>
      </w:r>
    </w:p>
    <w:p>
      <w:pPr>
        <w:spacing w:line="560" w:lineRule="exact"/>
        <w:rPr>
          <w:rFonts w:eastAsia="方正小标宋简体"/>
          <w:sz w:val="44"/>
          <w:szCs w:val="44"/>
        </w:rPr>
      </w:pPr>
    </w:p>
    <w:p>
      <w:pPr>
        <w:adjustRightInd w:val="0"/>
        <w:snapToGrid w:val="0"/>
        <w:spacing w:line="580" w:lineRule="atLeast"/>
        <w:ind w:firstLine="640" w:firstLineChars="200"/>
        <w:rPr>
          <w:rFonts w:eastAsia="黑体"/>
          <w:bCs/>
          <w:sz w:val="32"/>
          <w:szCs w:val="32"/>
        </w:rPr>
      </w:pPr>
      <w:r>
        <w:rPr>
          <w:rFonts w:eastAsia="黑体"/>
          <w:bCs/>
          <w:sz w:val="32"/>
          <w:szCs w:val="32"/>
        </w:rPr>
        <w:t>一、部门主要职责</w:t>
      </w:r>
    </w:p>
    <w:p>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南湖试验站是省农科单位直属的公益二类单位，其前身是1908年张之洞在湖北建立的南湖农业试验场，也是湖北省农科单位可追溯的最早历史。站辖土地面积1496.5亩，主要承担农作物育种、栽培、植保、土肥等方面科研成果的中试和示范任务。</w:t>
      </w:r>
    </w:p>
    <w:p>
      <w:pPr>
        <w:adjustRightInd w:val="0"/>
        <w:snapToGrid w:val="0"/>
        <w:spacing w:line="580" w:lineRule="atLeast"/>
        <w:ind w:firstLine="640" w:firstLineChars="200"/>
        <w:rPr>
          <w:rFonts w:eastAsia="仿宋_GB2312"/>
          <w:bCs/>
          <w:sz w:val="32"/>
          <w:szCs w:val="32"/>
        </w:rPr>
      </w:pPr>
      <w:r>
        <w:rPr>
          <w:rFonts w:eastAsia="黑体"/>
          <w:bCs/>
          <w:sz w:val="32"/>
          <w:szCs w:val="32"/>
        </w:rPr>
        <w:t>二、机构设置情况</w:t>
      </w:r>
    </w:p>
    <w:p>
      <w:pPr>
        <w:ind w:firstLine="640"/>
        <w:jc w:val="both"/>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从单位构成看，</w:t>
      </w:r>
      <w:r>
        <w:rPr>
          <w:rFonts w:hint="eastAsia" w:ascii="仿宋_GB2312" w:hAnsi="仿宋_GB2312" w:eastAsia="仿宋_GB2312" w:cs="仿宋_GB2312"/>
          <w:sz w:val="32"/>
          <w:szCs w:val="32"/>
          <w:u w:val="none"/>
          <w:rtl w:val="0"/>
          <w:lang w:val="en-US" w:eastAsia="zh-CN"/>
        </w:rPr>
        <w:t>湖北省农业科学院南湖试验站部门决算由实行独立核</w:t>
      </w:r>
      <w:r>
        <w:rPr>
          <w:rFonts w:hint="eastAsia" w:ascii="仿宋_GB2312" w:hAnsi="仿宋_GB2312" w:eastAsia="仿宋_GB2312" w:cs="仿宋_GB2312"/>
          <w:sz w:val="32"/>
          <w:szCs w:val="32"/>
          <w:u w:val="none"/>
          <w:lang w:val="en-US" w:eastAsia="zh-CN"/>
        </w:rPr>
        <w:t>算的</w:t>
      </w:r>
      <w:r>
        <w:rPr>
          <w:rFonts w:hint="eastAsia" w:ascii="仿宋_GB2312" w:hAnsi="仿宋_GB2312" w:eastAsia="仿宋_GB2312" w:cs="仿宋_GB2312"/>
          <w:sz w:val="32"/>
          <w:szCs w:val="32"/>
          <w:u w:val="none"/>
          <w:rtl w:val="0"/>
          <w:lang w:val="en-US" w:eastAsia="zh-CN"/>
        </w:rPr>
        <w:t>湖北省农业科学院南湖试验站</w:t>
      </w:r>
      <w:r>
        <w:rPr>
          <w:rFonts w:hint="eastAsia" w:ascii="仿宋_GB2312" w:hAnsi="仿宋_GB2312" w:eastAsia="仿宋_GB2312" w:cs="仿宋_GB2312"/>
          <w:sz w:val="32"/>
          <w:szCs w:val="32"/>
          <w:u w:val="none"/>
          <w:lang w:val="en-US" w:eastAsia="zh-CN"/>
        </w:rPr>
        <w:t>本级决算。</w:t>
      </w: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pPr>
    </w:p>
    <w:p>
      <w:pPr>
        <w:spacing w:line="560" w:lineRule="exact"/>
        <w:jc w:val="center"/>
        <w:rPr>
          <w:rFonts w:eastAsia="方正小标宋简体"/>
          <w:sz w:val="44"/>
          <w:szCs w:val="44"/>
        </w:rPr>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cols w:space="0" w:num="1"/>
          <w:rtlGutter w:val="0"/>
          <w:docGrid w:type="lines" w:linePitch="312" w:charSpace="0"/>
        </w:sectPr>
      </w:pPr>
    </w:p>
    <w:p>
      <w:pPr>
        <w:spacing w:line="560" w:lineRule="exact"/>
        <w:jc w:val="center"/>
        <w:rPr>
          <w:rFonts w:eastAsia="黑体"/>
          <w:sz w:val="48"/>
          <w:szCs w:val="48"/>
        </w:rPr>
      </w:pPr>
      <w:r>
        <w:rPr>
          <w:rFonts w:eastAsia="方正小标宋简体"/>
          <w:sz w:val="44"/>
          <w:szCs w:val="44"/>
        </w:rPr>
        <w:t xml:space="preserve">第二部分  </w:t>
      </w:r>
      <w:r>
        <w:rPr>
          <w:rFonts w:hint="eastAsia" w:eastAsia="方正小标宋简体"/>
          <w:sz w:val="44"/>
          <w:szCs w:val="44"/>
        </w:rPr>
        <w:t>202</w:t>
      </w:r>
      <w:r>
        <w:rPr>
          <w:rFonts w:hint="eastAsia" w:eastAsia="方正小标宋简体"/>
          <w:sz w:val="44"/>
          <w:szCs w:val="44"/>
          <w:lang w:val="en-US" w:eastAsia="zh-CN"/>
        </w:rPr>
        <w:t>3</w:t>
      </w:r>
      <w:r>
        <w:rPr>
          <w:rFonts w:eastAsia="方正小标宋简体"/>
          <w:sz w:val="44"/>
          <w:szCs w:val="44"/>
        </w:rPr>
        <w:t>年部门决算报表</w:t>
      </w:r>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23"/>
        <w:gridCol w:w="864"/>
        <w:gridCol w:w="1445"/>
        <w:gridCol w:w="4633"/>
        <w:gridCol w:w="864"/>
        <w:gridCol w:w="1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14174" w:type="dxa"/>
            <w:gridSpan w:val="6"/>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1" w:hRule="atLeast"/>
        </w:trPr>
        <w:tc>
          <w:tcPr>
            <w:tcW w:w="14174" w:type="dxa"/>
            <w:gridSpan w:val="6"/>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1" w:hRule="atLeast"/>
        </w:trPr>
        <w:tc>
          <w:tcPr>
            <w:tcW w:w="14174" w:type="dxa"/>
            <w:gridSpan w:val="6"/>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7232"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收入</w:t>
            </w:r>
          </w:p>
        </w:tc>
        <w:tc>
          <w:tcPr>
            <w:tcW w:w="6942" w:type="dxa"/>
            <w:gridSpan w:val="3"/>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项目</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行次</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金额</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项目</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行次</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栏次</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auto"/>
                <w:sz w:val="22"/>
                <w:szCs w:val="22"/>
                <w:u w:val="none"/>
                <w:shd w:val="clear" w:color="auto" w:fill="auto"/>
              </w:rPr>
            </w:pP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栏次</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一、一般公共预算财政拨款收入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3,909.76</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一、一般公共服务支出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二、政府性基金预算财政拨款收入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二、外交支出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33</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三、国有资本经营预算财政拨款收入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3</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三、国防支出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34</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四、上级补助收入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四、公共安全支出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35</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五、事业收入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316.43</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五、教育支出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36</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六、经营收入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6</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六、科学技术支出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37</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color w:val="000000"/>
                <w:kern w:val="0"/>
                <w:sz w:val="22"/>
                <w:szCs w:val="22"/>
                <w:u w:val="none"/>
                <w:lang w:val="en-US" w:eastAsia="zh-CN" w:bidi="ar"/>
              </w:rPr>
              <w:t>2,700.06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七、附属单位上缴收入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7</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七、文化旅游体育与传媒支出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38</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八、其他收入</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8</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8.27</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八、社会保障和就业支出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39</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color w:val="000000"/>
                <w:kern w:val="0"/>
                <w:sz w:val="22"/>
                <w:szCs w:val="22"/>
                <w:u w:val="none"/>
                <w:lang w:val="en-US" w:eastAsia="zh-CN" w:bidi="ar"/>
              </w:rPr>
              <w:t>1,237.97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9</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九、卫生健康支出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40</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color w:val="000000"/>
                <w:kern w:val="0"/>
                <w:sz w:val="22"/>
                <w:szCs w:val="22"/>
                <w:u w:val="none"/>
                <w:lang w:val="en-US" w:eastAsia="zh-CN" w:bidi="ar"/>
              </w:rPr>
              <w:t>6.88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10</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十、节能环保支出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41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十一、城乡社区支出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42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十二、农林水支出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shd w:val="clear" w:color="auto" w:fill="auto"/>
                <w:lang w:val="en-US" w:eastAsia="zh-CN" w:bidi="ar"/>
              </w:rPr>
            </w:pPr>
            <w:r>
              <w:rPr>
                <w:rFonts w:hint="eastAsia" w:ascii="宋体" w:hAnsi="宋体" w:eastAsia="宋体" w:cs="宋体"/>
                <w:i w:val="0"/>
                <w:iCs w:val="0"/>
                <w:color w:val="auto"/>
                <w:kern w:val="0"/>
                <w:sz w:val="22"/>
                <w:szCs w:val="22"/>
                <w:u w:val="none"/>
                <w:shd w:val="clear" w:color="auto" w:fill="auto"/>
                <w:lang w:val="en-US" w:eastAsia="zh-CN" w:bidi="ar"/>
              </w:rPr>
              <w:t>43</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13</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十三、交通运输支出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44</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14</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十四、资源勘探工业信息等支出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45</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15</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十五、商业服务业等支出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46</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16</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十六、金融支出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47</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17</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十七、援助其他地区支出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48</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18</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十八、自然资源海洋气象等支出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49</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19</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十九、住房保障支出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50</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202.27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20</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二十、粮油物资储备支出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二十一、国有资本经营预算支出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二十二、灾害防治及应急管理支出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53</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23</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二十三、其他支出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54</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auto"/>
                <w:sz w:val="20"/>
                <w:szCs w:val="20"/>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shd w:val="clear" w:color="auto" w:fill="auto"/>
              </w:rPr>
            </w:pPr>
            <w:r>
              <w:rPr>
                <w:rFonts w:hint="eastAsia" w:ascii="宋体" w:hAnsi="宋体" w:eastAsia="宋体" w:cs="宋体"/>
                <w:i w:val="0"/>
                <w:iCs w:val="0"/>
                <w:color w:val="auto"/>
                <w:kern w:val="0"/>
                <w:sz w:val="20"/>
                <w:szCs w:val="20"/>
                <w:u w:val="none"/>
                <w:shd w:val="clear" w:color="auto" w:fill="auto"/>
                <w:lang w:val="en-US" w:eastAsia="zh-CN" w:bidi="ar"/>
              </w:rPr>
              <w:t>24</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0"/>
                <w:szCs w:val="20"/>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二十四、债务还本支出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55</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0"/>
                <w:szCs w:val="20"/>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shd w:val="clear" w:color="auto" w:fill="auto"/>
              </w:rPr>
            </w:pPr>
            <w:r>
              <w:rPr>
                <w:rFonts w:hint="eastAsia" w:ascii="宋体" w:hAnsi="宋体" w:eastAsia="宋体" w:cs="宋体"/>
                <w:i w:val="0"/>
                <w:iCs w:val="0"/>
                <w:color w:val="auto"/>
                <w:kern w:val="0"/>
                <w:sz w:val="20"/>
                <w:szCs w:val="20"/>
                <w:u w:val="none"/>
                <w:shd w:val="clear" w:color="auto" w:fill="auto"/>
                <w:lang w:val="en-US" w:eastAsia="zh-CN" w:bidi="ar"/>
              </w:rPr>
              <w:t>25</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0"/>
                <w:szCs w:val="20"/>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二十五、债务付息支出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56</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0"/>
                <w:szCs w:val="20"/>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shd w:val="clear" w:color="auto" w:fill="auto"/>
              </w:rPr>
            </w:pPr>
            <w:r>
              <w:rPr>
                <w:rFonts w:hint="eastAsia" w:ascii="宋体" w:hAnsi="宋体" w:eastAsia="宋体" w:cs="宋体"/>
                <w:i w:val="0"/>
                <w:iCs w:val="0"/>
                <w:color w:val="auto"/>
                <w:kern w:val="0"/>
                <w:sz w:val="20"/>
                <w:szCs w:val="20"/>
                <w:u w:val="none"/>
                <w:shd w:val="clear" w:color="auto" w:fill="auto"/>
                <w:lang w:val="en-US" w:eastAsia="zh-CN" w:bidi="ar"/>
              </w:rPr>
              <w:t>26</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0"/>
                <w:szCs w:val="20"/>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二十六、抗疫特别国债安排的支出</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57</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shd w:val="clear" w:color="auto" w:fill="auto"/>
              </w:rPr>
            </w:pPr>
            <w:r>
              <w:rPr>
                <w:rFonts w:hint="eastAsia" w:ascii="宋体" w:hAnsi="宋体" w:eastAsia="宋体" w:cs="宋体"/>
                <w:b/>
                <w:bCs/>
                <w:i w:val="0"/>
                <w:iCs w:val="0"/>
                <w:color w:val="auto"/>
                <w:kern w:val="0"/>
                <w:sz w:val="22"/>
                <w:szCs w:val="22"/>
                <w:u w:val="none"/>
                <w:shd w:val="clear" w:color="auto" w:fill="auto"/>
                <w:lang w:val="en-US" w:eastAsia="zh-CN" w:bidi="ar"/>
              </w:rPr>
              <w:t>本年收入合计</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27</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4,234.46</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shd w:val="clear" w:color="auto" w:fill="auto"/>
              </w:rPr>
            </w:pPr>
            <w:r>
              <w:rPr>
                <w:rFonts w:hint="eastAsia" w:ascii="宋体" w:hAnsi="宋体" w:eastAsia="宋体" w:cs="宋体"/>
                <w:b/>
                <w:bCs/>
                <w:i w:val="0"/>
                <w:iCs w:val="0"/>
                <w:color w:val="auto"/>
                <w:kern w:val="0"/>
                <w:sz w:val="22"/>
                <w:szCs w:val="22"/>
                <w:u w:val="none"/>
                <w:shd w:val="clear" w:color="auto" w:fill="auto"/>
                <w:lang w:val="en-US" w:eastAsia="zh-CN" w:bidi="ar"/>
              </w:rPr>
              <w:t>本年支出合计</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58</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4,147.18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使用非财政拨款结余</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28</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结余分配</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59</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年初结转和结余</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29</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108.39</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年末结转和结余</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60</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195.67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30</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auto"/>
                <w:sz w:val="22"/>
                <w:szCs w:val="22"/>
                <w:u w:val="none"/>
                <w:shd w:val="clear" w:color="auto" w:fill="auto"/>
              </w:rPr>
            </w:pP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61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auto"/>
                <w:sz w:val="22"/>
                <w:szCs w:val="22"/>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492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b/>
                <w:bCs/>
                <w:i w:val="0"/>
                <w:iCs w:val="0"/>
                <w:color w:val="auto"/>
                <w:sz w:val="22"/>
                <w:szCs w:val="22"/>
                <w:u w:val="none"/>
                <w:shd w:val="clear" w:color="auto" w:fill="auto"/>
              </w:rPr>
            </w:pPr>
            <w:r>
              <w:rPr>
                <w:rFonts w:hint="eastAsia" w:ascii="宋体" w:hAnsi="宋体" w:eastAsia="宋体" w:cs="宋体"/>
                <w:b/>
                <w:bCs/>
                <w:i w:val="0"/>
                <w:iCs w:val="0"/>
                <w:color w:val="auto"/>
                <w:kern w:val="0"/>
                <w:sz w:val="22"/>
                <w:szCs w:val="22"/>
                <w:u w:val="none"/>
                <w:shd w:val="clear" w:color="auto" w:fill="auto"/>
                <w:lang w:val="en-US" w:eastAsia="zh-CN" w:bidi="ar"/>
              </w:rPr>
              <w:t>总计</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31</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4,342.85</w:t>
            </w:r>
          </w:p>
        </w:tc>
        <w:tc>
          <w:tcPr>
            <w:tcW w:w="463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b/>
                <w:bCs/>
                <w:i w:val="0"/>
                <w:iCs w:val="0"/>
                <w:color w:val="auto"/>
                <w:sz w:val="22"/>
                <w:szCs w:val="22"/>
                <w:u w:val="none"/>
                <w:shd w:val="clear" w:color="auto" w:fill="auto"/>
              </w:rPr>
            </w:pPr>
            <w:r>
              <w:rPr>
                <w:rFonts w:hint="eastAsia" w:ascii="宋体" w:hAnsi="宋体" w:eastAsia="宋体" w:cs="宋体"/>
                <w:b/>
                <w:bCs/>
                <w:i w:val="0"/>
                <w:iCs w:val="0"/>
                <w:color w:val="auto"/>
                <w:kern w:val="0"/>
                <w:sz w:val="22"/>
                <w:szCs w:val="22"/>
                <w:u w:val="none"/>
                <w:shd w:val="clear" w:color="auto" w:fill="auto"/>
                <w:lang w:val="en-US" w:eastAsia="zh-CN" w:bidi="ar"/>
              </w:rPr>
              <w:t>总计</w:t>
            </w:r>
          </w:p>
        </w:tc>
        <w:tc>
          <w:tcPr>
            <w:tcW w:w="8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iCs w:val="0"/>
                <w:color w:val="auto"/>
                <w:kern w:val="0"/>
                <w:sz w:val="22"/>
                <w:szCs w:val="22"/>
                <w:u w:val="none"/>
                <w:shd w:val="clear" w:color="auto" w:fill="auto"/>
                <w:lang w:val="en-US" w:eastAsia="zh-CN" w:bidi="ar"/>
              </w:rPr>
              <w:t>62</w:t>
            </w:r>
          </w:p>
        </w:tc>
        <w:tc>
          <w:tcPr>
            <w:tcW w:w="144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shd w:val="clear" w:color="auto" w:fill="auto"/>
              </w:rPr>
            </w:pPr>
            <w:r>
              <w:rPr>
                <w:rFonts w:hint="eastAsia" w:ascii="宋体" w:hAnsi="宋体" w:eastAsia="宋体" w:cs="宋体"/>
                <w:i w:val="0"/>
                <w:color w:val="000000"/>
                <w:kern w:val="0"/>
                <w:sz w:val="22"/>
                <w:szCs w:val="22"/>
                <w:u w:val="none"/>
                <w:lang w:val="en-US" w:eastAsia="zh-CN" w:bidi="ar"/>
              </w:rPr>
              <w:t>4,342.85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14174" w:type="dxa"/>
            <w:gridSpan w:val="6"/>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1" w:hRule="atLeast"/>
        </w:trPr>
        <w:tc>
          <w:tcPr>
            <w:tcW w:w="14174" w:type="dxa"/>
            <w:gridSpan w:val="6"/>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p/>
    <w:p/>
    <w:p/>
    <w:p/>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0"/>
        <w:gridCol w:w="4455"/>
        <w:gridCol w:w="1548"/>
        <w:gridCol w:w="1548"/>
        <w:gridCol w:w="1129"/>
        <w:gridCol w:w="882"/>
        <w:gridCol w:w="882"/>
        <w:gridCol w:w="1375"/>
        <w:gridCol w:w="11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14174" w:type="dxa"/>
            <w:gridSpan w:val="9"/>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9"/>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4174" w:type="dxa"/>
            <w:gridSpan w:val="9"/>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45"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548"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548"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1129"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882"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882"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1375"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165"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4455" w:type="dxa"/>
            <w:vMerge w:val="restart"/>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5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5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129"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8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8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37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16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455"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5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5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129"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8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8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37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16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455"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5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5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129"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8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8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37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16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45"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548"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48"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29"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82"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2"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7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6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45"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4,234.46</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3,909.76</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316.43</w:t>
            </w: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2060401</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机构运行</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2,461.72</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2,461.54</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0.18</w:t>
            </w: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2060499</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其他技术研究与开发支出</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325.62</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1.10</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316.24</w:t>
            </w: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2080502</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事业单位离退休</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2080505</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173.40</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173.40</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2080506</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86.60</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86.60</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2101102</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事业单位医疗</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6.88</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6.88</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1190"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2210201</w:t>
            </w:r>
          </w:p>
        </w:tc>
        <w:tc>
          <w:tcPr>
            <w:tcW w:w="445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住房公积金</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5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129"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8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3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6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9"/>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pPr>
        <w:spacing w:line="560" w:lineRule="exact"/>
        <w:jc w:val="center"/>
        <w:rPr>
          <w:rFonts w:eastAsia="方正小标宋简体"/>
          <w:sz w:val="32"/>
          <w:szCs w:val="32"/>
        </w:rPr>
      </w:pPr>
    </w:p>
    <w:p>
      <w:pPr>
        <w:pStyle w:val="2"/>
        <w:rPr>
          <w:rFonts w:eastAsia="方正小标宋简体"/>
          <w:sz w:val="32"/>
          <w:szCs w:val="32"/>
        </w:rPr>
      </w:pPr>
    </w:p>
    <w:p/>
    <w:p>
      <w:pPr>
        <w:spacing w:line="560" w:lineRule="exact"/>
        <w:jc w:val="center"/>
        <w:rPr>
          <w:rFonts w:eastAsia="方正小标宋简体"/>
          <w:sz w:val="32"/>
          <w:szCs w:val="32"/>
        </w:rPr>
      </w:pPr>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1272"/>
        <w:gridCol w:w="4780"/>
        <w:gridCol w:w="1659"/>
        <w:gridCol w:w="1446"/>
        <w:gridCol w:w="1247"/>
        <w:gridCol w:w="1208"/>
        <w:gridCol w:w="944"/>
        <w:gridCol w:w="16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14174" w:type="dxa"/>
            <w:gridSpan w:val="8"/>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8"/>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8"/>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052"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59"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446"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247"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208"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944"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1618"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272"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4780" w:type="dxa"/>
            <w:vMerge w:val="restart"/>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59"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44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47"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0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94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61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72"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780"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659"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44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47"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0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94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61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72"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780"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659"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44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47"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0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94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61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052"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659"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46"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47"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08"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4"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18"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052"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4,147.18</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3,519.27</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627.91</w:t>
            </w: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2060401</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机构运行</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2,461.72</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2,071.05</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390.68</w:t>
            </w: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2060499</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其他技术研究与开发支出</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238.33</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1.10</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237.23</w:t>
            </w: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2080502</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事业单位离退休</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2080505</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173.40</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173.40</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2080506</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86.60</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86.60</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2101102</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事业单位医疗</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6.88</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6.88</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2210201</w:t>
            </w:r>
          </w:p>
        </w:tc>
        <w:tc>
          <w:tcPr>
            <w:tcW w:w="478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住房公积金</w:t>
            </w:r>
          </w:p>
        </w:tc>
        <w:tc>
          <w:tcPr>
            <w:tcW w:w="165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44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247"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0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94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1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4174" w:type="dxa"/>
            <w:gridSpan w:val="8"/>
            <w:tcBorders>
              <w:top w:val="nil"/>
              <w:left w:val="nil"/>
              <w:bottom w:val="nil"/>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pStyle w:val="2"/>
        <w:rPr>
          <w:rFonts w:eastAsia="方正小标宋简体"/>
          <w:sz w:val="32"/>
          <w:szCs w:val="32"/>
        </w:rPr>
      </w:pPr>
    </w:p>
    <w:p/>
    <w:tbl>
      <w:tblPr>
        <w:tblStyle w:val="7"/>
        <w:tblW w:w="143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2973"/>
        <w:gridCol w:w="640"/>
        <w:gridCol w:w="1195"/>
        <w:gridCol w:w="3307"/>
        <w:gridCol w:w="640"/>
        <w:gridCol w:w="1491"/>
        <w:gridCol w:w="1664"/>
        <w:gridCol w:w="1248"/>
        <w:gridCol w:w="11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14339" w:type="dxa"/>
            <w:gridSpan w:val="9"/>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339" w:type="dxa"/>
            <w:gridSpan w:val="9"/>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339" w:type="dxa"/>
            <w:gridSpan w:val="9"/>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808"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9531" w:type="dxa"/>
            <w:gridSpan w:val="6"/>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2973"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40"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195"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307" w:type="dxa"/>
            <w:vMerge w:val="restart"/>
            <w:tcBorders>
              <w:top w:val="nil"/>
              <w:left w:val="nil"/>
              <w:bottom w:val="single" w:color="000000" w:sz="4" w:space="0"/>
              <w:right w:val="single" w:color="000000" w:sz="4" w:space="0"/>
            </w:tcBorders>
            <w:shd w:val="clear" w:color="auto" w:fill="FFFFFF" w:themeFill="background1"/>
            <w:vAlign w:val="bottom"/>
          </w:tcPr>
          <w:p>
            <w:pPr>
              <w:keepNext w:val="0"/>
              <w:keepLines w:val="0"/>
              <w:widowControl/>
              <w:suppressLineNumbers w:val="0"/>
              <w:jc w:val="both"/>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40"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91" w:type="dxa"/>
            <w:vMerge w:val="restart"/>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64"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248"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181"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2973"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both"/>
              <w:rPr>
                <w:rFonts w:hint="eastAsia" w:ascii="宋体" w:hAnsi="宋体" w:eastAsia="宋体" w:cs="宋体"/>
                <w:i w:val="0"/>
                <w:iCs w:val="0"/>
                <w:color w:val="000000"/>
                <w:sz w:val="22"/>
                <w:szCs w:val="22"/>
                <w:u w:val="none"/>
              </w:rPr>
            </w:pPr>
          </w:p>
        </w:tc>
        <w:tc>
          <w:tcPr>
            <w:tcW w:w="64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119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3307" w:type="dxa"/>
            <w:vMerge w:val="continue"/>
            <w:tcBorders>
              <w:top w:val="nil"/>
              <w:left w:val="nil"/>
              <w:bottom w:val="single" w:color="000000" w:sz="4" w:space="0"/>
              <w:right w:val="single" w:color="000000" w:sz="4" w:space="0"/>
            </w:tcBorders>
            <w:shd w:val="clear" w:color="auto" w:fill="FFFFFF" w:themeFill="background1"/>
            <w:vAlign w:val="bottom"/>
          </w:tcPr>
          <w:p>
            <w:pPr>
              <w:jc w:val="both"/>
              <w:rPr>
                <w:rFonts w:hint="eastAsia" w:ascii="宋体" w:hAnsi="宋体" w:eastAsia="宋体" w:cs="宋体"/>
                <w:i w:val="0"/>
                <w:iCs w:val="0"/>
                <w:color w:val="000000"/>
                <w:sz w:val="22"/>
                <w:szCs w:val="22"/>
                <w:u w:val="none"/>
              </w:rPr>
            </w:pPr>
          </w:p>
        </w:tc>
        <w:tc>
          <w:tcPr>
            <w:tcW w:w="64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1491"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66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124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1181"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307" w:type="dxa"/>
            <w:tcBorders>
              <w:top w:val="nil"/>
              <w:left w:val="nil"/>
              <w:bottom w:val="single" w:color="000000" w:sz="4" w:space="0"/>
              <w:right w:val="single" w:color="000000" w:sz="4" w:space="0"/>
            </w:tcBorders>
            <w:shd w:val="clear" w:color="auto" w:fill="FFFFFF" w:themeFill="background1"/>
            <w:noWrap/>
            <w:vAlign w:val="bottom"/>
          </w:tcPr>
          <w:p>
            <w:pPr>
              <w:keepNext w:val="0"/>
              <w:keepLines w:val="0"/>
              <w:widowControl/>
              <w:suppressLineNumbers w:val="0"/>
              <w:jc w:val="both"/>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三、国有资本经营财政拨款</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2,462.64</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2,462.64</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1,237.97</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1,237.97</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6.88</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6.88</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z w:val="20"/>
                <w:szCs w:val="20"/>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2"/>
                <w:szCs w:val="22"/>
                <w:u w:val="none"/>
              </w:rPr>
            </w:pP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19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3307"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4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49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16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3,909.76</w:t>
            </w:r>
          </w:p>
        </w:tc>
        <w:tc>
          <w:tcPr>
            <w:tcW w:w="124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18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158" w:type="dxa"/>
            <w:gridSpan w:val="8"/>
            <w:tcBorders>
              <w:top w:val="nil"/>
              <w:left w:val="nil"/>
              <w:bottom w:val="nil"/>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181" w:type="dxa"/>
            <w:tcBorders>
              <w:top w:val="nil"/>
              <w:left w:val="nil"/>
              <w:bottom w:val="nil"/>
              <w:right w:val="nil"/>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r>
    </w:tbl>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1772"/>
        <w:gridCol w:w="6639"/>
        <w:gridCol w:w="2010"/>
        <w:gridCol w:w="2010"/>
        <w:gridCol w:w="1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75" w:hRule="atLeast"/>
        </w:trPr>
        <w:tc>
          <w:tcPr>
            <w:tcW w:w="14174" w:type="dxa"/>
            <w:gridSpan w:val="5"/>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4174" w:type="dxa"/>
            <w:gridSpan w:val="5"/>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5"/>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8411"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763" w:type="dxa"/>
            <w:gridSpan w:val="3"/>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6639" w:type="dxa"/>
            <w:vMerge w:val="restart"/>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010"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010"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743"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772"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6639"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201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01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74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6639"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201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01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74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8411"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8411"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3,909.76</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3,519.09</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i w:val="0"/>
                <w:color w:val="000000"/>
                <w:kern w:val="0"/>
                <w:sz w:val="22"/>
                <w:szCs w:val="22"/>
                <w:u w:val="none"/>
                <w:lang w:val="en-US" w:eastAsia="zh-CN" w:bidi="ar"/>
              </w:rPr>
              <w:t>390.68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2060401</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机构运行</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2,461.54</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2,070.87</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390.68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2060499</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其他技术研究与开发支出</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1.10</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1.10</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2080502</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事业单位离退休</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2080505</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173.40</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173.40</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2080506</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86.60</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86.60</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2101102</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事业单位医疗</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6.88</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6.88</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772"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2210201</w:t>
            </w:r>
          </w:p>
        </w:tc>
        <w:tc>
          <w:tcPr>
            <w:tcW w:w="6639"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2"/>
                <w:szCs w:val="22"/>
                <w:u w:val="none"/>
                <w:lang w:val="en-US" w:eastAsia="zh-CN" w:bidi="ar"/>
              </w:rPr>
              <w:t>住房公积金</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20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174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5"/>
            <w:tcBorders>
              <w:top w:val="nil"/>
              <w:left w:val="nil"/>
              <w:bottom w:val="nil"/>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bl>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pStyle w:val="2"/>
        <w:rPr>
          <w:rFonts w:eastAsia="方正小标宋简体"/>
          <w:sz w:val="32"/>
          <w:szCs w:val="32"/>
        </w:rPr>
      </w:pPr>
    </w:p>
    <w:p/>
    <w:tbl>
      <w:tblPr>
        <w:tblStyle w:val="7"/>
        <w:tblW w:w="142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773"/>
        <w:gridCol w:w="2943"/>
        <w:gridCol w:w="1220"/>
        <w:gridCol w:w="802"/>
        <w:gridCol w:w="2063"/>
        <w:gridCol w:w="896"/>
        <w:gridCol w:w="821"/>
        <w:gridCol w:w="3735"/>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14231" w:type="dxa"/>
            <w:gridSpan w:val="9"/>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4231" w:type="dxa"/>
            <w:gridSpan w:val="9"/>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231" w:type="dxa"/>
            <w:gridSpan w:val="9"/>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936"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9295" w:type="dxa"/>
            <w:gridSpan w:val="6"/>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2943"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220"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802"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2063"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896"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821"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3735"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978"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94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22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0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06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9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21"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373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978"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2,148.48</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170.61</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468.71</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6.60</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121.23</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印刷费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3.91</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咨询费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手续费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766.33</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7.16</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 xml:space="preserve"> 机关事业单位基本养老保险缴费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173.40</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6.22</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86.60</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3.99</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34.56</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202.27</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因公出国（境）费用</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329.93</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37.25</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1,190.26</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0.74</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977.97</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4.78</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2.62</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0.11</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209.67</w:t>
            </w: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25.76</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34.67</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 xml:space="preserve"> 对民间非营利组织和群众性自治组织补贴</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39909</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经常性赠与</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 xml:space="preserve"> 公务用车运行维护费</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39910</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资本性赠与</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21"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73"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2943"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0"/>
                <w:szCs w:val="20"/>
                <w:u w:val="none"/>
              </w:rPr>
            </w:pPr>
          </w:p>
        </w:tc>
        <w:tc>
          <w:tcPr>
            <w:tcW w:w="80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206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 xml:space="preserve"> 其他商品和服务支出</w:t>
            </w:r>
          </w:p>
        </w:tc>
        <w:tc>
          <w:tcPr>
            <w:tcW w:w="8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1.84</w:t>
            </w:r>
          </w:p>
        </w:tc>
        <w:tc>
          <w:tcPr>
            <w:tcW w:w="821"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3735"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978"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371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122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3,338.73</w:t>
            </w:r>
          </w:p>
        </w:tc>
        <w:tc>
          <w:tcPr>
            <w:tcW w:w="8317" w:type="dxa"/>
            <w:gridSpan w:val="5"/>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978"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2"/>
                <w:szCs w:val="22"/>
                <w:u w:val="none"/>
                <w:lang w:val="en-US" w:eastAsia="zh-CN" w:bidi="ar"/>
              </w:rPr>
              <w:t>180.35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231" w:type="dxa"/>
            <w:gridSpan w:val="9"/>
            <w:tcBorders>
              <w:top w:val="nil"/>
              <w:left w:val="nil"/>
              <w:bottom w:val="nil"/>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pPr>
        <w:spacing w:line="560" w:lineRule="exact"/>
        <w:jc w:val="left"/>
        <w:rPr>
          <w:rFonts w:eastAsia="方正小标宋简体"/>
          <w:sz w:val="32"/>
          <w:szCs w:val="32"/>
        </w:rPr>
      </w:pPr>
    </w:p>
    <w:p>
      <w:pPr>
        <w:spacing w:line="560" w:lineRule="exact"/>
        <w:jc w:val="left"/>
        <w:rPr>
          <w:rFonts w:eastAsia="方正小标宋简体"/>
          <w:sz w:val="32"/>
          <w:szCs w:val="32"/>
        </w:rPr>
      </w:pPr>
    </w:p>
    <w:p>
      <w:pPr>
        <w:shd w:val="clear" w:color="auto" w:fill="FFFFFF"/>
        <w:spacing w:before="240" w:after="240" w:line="360" w:lineRule="auto"/>
        <w:rPr>
          <w:rFonts w:eastAsia="黑体"/>
          <w:sz w:val="32"/>
          <w:szCs w:val="32"/>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9" w:charSpace="0"/>
        </w:sectPr>
      </w:pPr>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4169"/>
        <w:gridCol w:w="1097"/>
        <w:gridCol w:w="5464"/>
        <w:gridCol w:w="416"/>
        <w:gridCol w:w="416"/>
        <w:gridCol w:w="416"/>
        <w:gridCol w:w="423"/>
        <w:gridCol w:w="17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PrEx>
        <w:trPr>
          <w:trHeight w:val="375" w:hRule="atLeast"/>
        </w:trPr>
        <w:tc>
          <w:tcPr>
            <w:tcW w:w="14174" w:type="dxa"/>
            <w:gridSpan w:val="8"/>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4174" w:type="dxa"/>
            <w:gridSpan w:val="8"/>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4174" w:type="dxa"/>
            <w:gridSpan w:val="8"/>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526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464"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416"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w:t>
            </w:r>
          </w:p>
        </w:tc>
        <w:tc>
          <w:tcPr>
            <w:tcW w:w="1255" w:type="dxa"/>
            <w:gridSpan w:val="3"/>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c>
          <w:tcPr>
            <w:tcW w:w="1773"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4169"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1097" w:type="dxa"/>
            <w:vMerge w:val="restart"/>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546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416"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423"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77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4169"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097"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546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2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77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4169"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097"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546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2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1773"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526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5464"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1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1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2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73"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526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54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41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41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41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42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177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4169"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1097"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546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1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1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1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2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773"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14174" w:type="dxa"/>
            <w:gridSpan w:val="8"/>
            <w:tcBorders>
              <w:top w:val="nil"/>
              <w:left w:val="nil"/>
              <w:bottom w:val="nil"/>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注：本表反映部门本年度政府性基金预算财政拨款收入、支出及结转和结余情况。本单位无政府性基金预算财政拨款收入。</w:t>
            </w:r>
          </w:p>
        </w:tc>
      </w:tr>
    </w:tbl>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2696"/>
        <w:gridCol w:w="4130"/>
        <w:gridCol w:w="1942"/>
        <w:gridCol w:w="2696"/>
        <w:gridCol w:w="2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14174" w:type="dxa"/>
            <w:gridSpan w:val="5"/>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5"/>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5"/>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82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348" w:type="dxa"/>
            <w:gridSpan w:val="3"/>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696"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4130" w:type="dxa"/>
            <w:vMerge w:val="restart"/>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42"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696"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710"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2696"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30"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94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69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71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696"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4130" w:type="dxa"/>
            <w:vMerge w:val="continue"/>
            <w:tcBorders>
              <w:top w:val="nil"/>
              <w:left w:val="nil"/>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z w:val="22"/>
                <w:szCs w:val="22"/>
                <w:u w:val="none"/>
              </w:rPr>
            </w:pPr>
          </w:p>
        </w:tc>
        <w:tc>
          <w:tcPr>
            <w:tcW w:w="1942"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696"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2710"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82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942"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696"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10" w:type="dxa"/>
            <w:tcBorders>
              <w:top w:val="nil"/>
              <w:left w:val="nil"/>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6826"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94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26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c>
          <w:tcPr>
            <w:tcW w:w="271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696"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4130" w:type="dxa"/>
            <w:tcBorders>
              <w:top w:val="nil"/>
              <w:left w:val="nil"/>
              <w:bottom w:val="single" w:color="000000" w:sz="4" w:space="0"/>
              <w:right w:val="single" w:color="000000" w:sz="4" w:space="0"/>
            </w:tcBorders>
            <w:shd w:val="clear" w:color="auto" w:fill="FFFFFF" w:themeFill="background1"/>
            <w:noWrap/>
            <w:vAlign w:val="center"/>
          </w:tcPr>
          <w:p>
            <w:pPr>
              <w:jc w:val="left"/>
              <w:rPr>
                <w:rFonts w:hint="eastAsia" w:ascii="宋体" w:hAnsi="宋体" w:eastAsia="宋体" w:cs="宋体"/>
                <w:i w:val="0"/>
                <w:iCs w:val="0"/>
                <w:color w:val="000000"/>
                <w:sz w:val="20"/>
                <w:szCs w:val="20"/>
                <w:u w:val="none"/>
              </w:rPr>
            </w:pPr>
          </w:p>
        </w:tc>
        <w:tc>
          <w:tcPr>
            <w:tcW w:w="194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269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2710"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5"/>
            <w:tcBorders>
              <w:top w:val="nil"/>
              <w:left w:val="nil"/>
              <w:bottom w:val="nil"/>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注：本表反映部门本年度国有资本经营预算财政拨款支出情况。本单位无国有资本经营预算财政拨款。</w:t>
            </w:r>
          </w:p>
        </w:tc>
      </w:tr>
    </w:tbl>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both"/>
        <w:rPr>
          <w:rFonts w:eastAsia="方正小标宋简体"/>
          <w:sz w:val="32"/>
          <w:szCs w:val="32"/>
        </w:rPr>
      </w:pPr>
    </w:p>
    <w:tbl>
      <w:tblPr>
        <w:tblStyle w:val="7"/>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3717"/>
        <w:gridCol w:w="874"/>
        <w:gridCol w:w="435"/>
        <w:gridCol w:w="435"/>
        <w:gridCol w:w="441"/>
        <w:gridCol w:w="3875"/>
        <w:gridCol w:w="435"/>
        <w:gridCol w:w="874"/>
        <w:gridCol w:w="436"/>
        <w:gridCol w:w="436"/>
        <w:gridCol w:w="442"/>
        <w:gridCol w:w="1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75" w:hRule="atLeast"/>
        </w:trPr>
        <w:tc>
          <w:tcPr>
            <w:tcW w:w="14174" w:type="dxa"/>
            <w:gridSpan w:val="12"/>
            <w:tcBorders>
              <w:top w:val="nil"/>
              <w:left w:val="nil"/>
              <w:bottom w:val="nil"/>
              <w:right w:val="nil"/>
            </w:tcBorders>
            <w:shd w:val="clear" w:color="auto" w:fill="FFFFFF" w:themeFill="background1"/>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12"/>
            <w:tcBorders>
              <w:top w:val="nil"/>
              <w:left w:val="nil"/>
              <w:bottom w:val="nil"/>
              <w:right w:val="nil"/>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74" w:type="dxa"/>
            <w:gridSpan w:val="12"/>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部门：湖北省农业科学院南湖试验站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9777" w:type="dxa"/>
            <w:gridSpan w:val="6"/>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4397" w:type="dxa"/>
            <w:gridSpan w:val="6"/>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17" w:type="dxa"/>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874"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1311" w:type="dxa"/>
            <w:gridSpan w:val="3"/>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3875"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435"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4"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1314" w:type="dxa"/>
            <w:gridSpan w:val="3"/>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1774" w:type="dxa"/>
            <w:vMerge w:val="restart"/>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3717" w:type="dxa"/>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0"/>
                <w:szCs w:val="20"/>
                <w:u w:val="none"/>
              </w:rPr>
            </w:pPr>
          </w:p>
        </w:tc>
        <w:tc>
          <w:tcPr>
            <w:tcW w:w="87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43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3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441"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公务用车运行费</w:t>
            </w:r>
          </w:p>
        </w:tc>
        <w:tc>
          <w:tcPr>
            <w:tcW w:w="387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435"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87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c>
          <w:tcPr>
            <w:tcW w:w="436"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36"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442"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公务用车运行费</w:t>
            </w:r>
          </w:p>
        </w:tc>
        <w:tc>
          <w:tcPr>
            <w:tcW w:w="1774" w:type="dxa"/>
            <w:vMerge w:val="continue"/>
            <w:tcBorders>
              <w:top w:val="nil"/>
              <w:left w:val="nil"/>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17" w:type="dxa"/>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74"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3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3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41"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87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35"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874"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436"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36"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42"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774" w:type="dxa"/>
            <w:tcBorders>
              <w:top w:val="nil"/>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00" w:hRule="atLeast"/>
        </w:trPr>
        <w:tc>
          <w:tcPr>
            <w:tcW w:w="3717" w:type="dxa"/>
            <w:tcBorders>
              <w:top w:val="nil"/>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0"/>
                <w:szCs w:val="20"/>
                <w:u w:val="none"/>
              </w:rPr>
            </w:pPr>
          </w:p>
        </w:tc>
        <w:tc>
          <w:tcPr>
            <w:tcW w:w="87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3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0"/>
                <w:szCs w:val="20"/>
                <w:u w:val="none"/>
              </w:rPr>
            </w:pPr>
          </w:p>
        </w:tc>
        <w:tc>
          <w:tcPr>
            <w:tcW w:w="43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41"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387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35"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87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3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36"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442"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c>
          <w:tcPr>
            <w:tcW w:w="1774" w:type="dxa"/>
            <w:tcBorders>
              <w:top w:val="nil"/>
              <w:left w:val="nil"/>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00" w:hRule="atLeast"/>
        </w:trPr>
        <w:tc>
          <w:tcPr>
            <w:tcW w:w="14174" w:type="dxa"/>
            <w:gridSpan w:val="12"/>
            <w:tcBorders>
              <w:top w:val="nil"/>
              <w:left w:val="nil"/>
              <w:bottom w:val="nil"/>
              <w:right w:val="nil"/>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r>
              <w:rPr>
                <w:rFonts w:hint="eastAsia" w:ascii="宋体" w:hAnsi="宋体" w:cs="宋体"/>
                <w:i w:val="0"/>
                <w:iCs w:val="0"/>
                <w:color w:val="000000"/>
                <w:kern w:val="0"/>
                <w:sz w:val="20"/>
                <w:szCs w:val="20"/>
                <w:u w:val="none"/>
                <w:lang w:val="en-US" w:eastAsia="zh-CN" w:bidi="ar"/>
              </w:rPr>
              <w:t>本单位无“三公”经费支出。</w:t>
            </w:r>
          </w:p>
        </w:tc>
      </w:tr>
    </w:tbl>
    <w:p>
      <w:pPr>
        <w:spacing w:line="560" w:lineRule="exact"/>
        <w:jc w:val="center"/>
        <w:rPr>
          <w:rFonts w:eastAsia="方正小标宋简体"/>
          <w:sz w:val="32"/>
          <w:szCs w:val="32"/>
        </w:rPr>
      </w:pPr>
    </w:p>
    <w:p>
      <w:pPr>
        <w:spacing w:line="560" w:lineRule="exact"/>
        <w:jc w:val="center"/>
        <w:rPr>
          <w:rFonts w:eastAsia="方正小标宋简体"/>
          <w:sz w:val="32"/>
          <w:szCs w:val="32"/>
        </w:rPr>
      </w:pPr>
    </w:p>
    <w:p>
      <w:pPr>
        <w:spacing w:line="560" w:lineRule="exact"/>
        <w:jc w:val="both"/>
        <w:rPr>
          <w:rFonts w:eastAsia="黑体"/>
          <w:sz w:val="22"/>
          <w:szCs w:val="22"/>
        </w:rPr>
      </w:pPr>
    </w:p>
    <w:tbl>
      <w:tblPr>
        <w:tblStyle w:val="7"/>
        <w:tblW w:w="14174" w:type="dxa"/>
        <w:jc w:val="center"/>
        <w:tblInd w:w="0" w:type="dxa"/>
        <w:tblLayout w:type="fixed"/>
        <w:tblCellMar>
          <w:top w:w="0" w:type="dxa"/>
          <w:left w:w="108" w:type="dxa"/>
          <w:bottom w:w="0" w:type="dxa"/>
          <w:right w:w="108" w:type="dxa"/>
        </w:tblCellMar>
      </w:tblPr>
      <w:tblGrid>
        <w:gridCol w:w="6288"/>
        <w:gridCol w:w="7886"/>
      </w:tblGrid>
      <w:tr>
        <w:tblPrEx>
          <w:tblLayout w:type="fixed"/>
          <w:tblCellMar>
            <w:top w:w="0" w:type="dxa"/>
            <w:left w:w="108" w:type="dxa"/>
            <w:bottom w:w="0" w:type="dxa"/>
            <w:right w:w="108" w:type="dxa"/>
          </w:tblCellMar>
        </w:tblPrEx>
        <w:trPr>
          <w:trHeight w:val="567" w:hRule="atLeast"/>
          <w:jc w:val="center"/>
        </w:trPr>
        <w:tc>
          <w:tcPr>
            <w:tcW w:w="14174" w:type="dxa"/>
            <w:gridSpan w:val="2"/>
            <w:tcBorders>
              <w:top w:val="nil"/>
              <w:left w:val="nil"/>
              <w:bottom w:val="nil"/>
              <w:right w:val="nil"/>
            </w:tcBorders>
            <w:shd w:val="clear" w:color="000000" w:fill="FFFFFF"/>
            <w:noWrap/>
            <w:vAlign w:val="center"/>
          </w:tcPr>
          <w:p>
            <w:pPr>
              <w:spacing w:line="560" w:lineRule="exact"/>
              <w:jc w:val="center"/>
              <w:rPr>
                <w:color w:val="000000"/>
                <w:kern w:val="0"/>
                <w:sz w:val="22"/>
                <w:szCs w:val="22"/>
              </w:rPr>
            </w:pPr>
            <w:r>
              <w:rPr>
                <w:rFonts w:eastAsia="方正小标宋简体"/>
                <w:sz w:val="32"/>
                <w:szCs w:val="32"/>
              </w:rPr>
              <w:t>财政专项支出决算表</w:t>
            </w:r>
          </w:p>
        </w:tc>
      </w:tr>
      <w:tr>
        <w:tblPrEx>
          <w:tblLayout w:type="fixed"/>
          <w:tblCellMar>
            <w:top w:w="0" w:type="dxa"/>
            <w:left w:w="108" w:type="dxa"/>
            <w:bottom w:w="0" w:type="dxa"/>
            <w:right w:w="108" w:type="dxa"/>
          </w:tblCellMar>
        </w:tblPrEx>
        <w:trPr>
          <w:trHeight w:val="567" w:hRule="atLeast"/>
          <w:jc w:val="center"/>
        </w:trPr>
        <w:tc>
          <w:tcPr>
            <w:tcW w:w="14174" w:type="dxa"/>
            <w:gridSpan w:val="2"/>
            <w:tcBorders>
              <w:top w:val="nil"/>
              <w:left w:val="nil"/>
              <w:bottom w:val="nil"/>
              <w:right w:val="nil"/>
            </w:tcBorders>
            <w:shd w:val="clear" w:color="000000" w:fill="FFFFFF"/>
            <w:noWrap/>
            <w:vAlign w:val="center"/>
          </w:tcPr>
          <w:p>
            <w:pPr>
              <w:widowControl/>
              <w:jc w:val="right"/>
              <w:rPr>
                <w:color w:val="000000"/>
                <w:kern w:val="0"/>
                <w:sz w:val="22"/>
                <w:szCs w:val="22"/>
              </w:rPr>
            </w:pPr>
            <w:r>
              <w:rPr>
                <w:color w:val="000000"/>
                <w:kern w:val="0"/>
                <w:sz w:val="22"/>
                <w:szCs w:val="22"/>
              </w:rPr>
              <w:t>公开10表</w:t>
            </w:r>
          </w:p>
        </w:tc>
      </w:tr>
      <w:tr>
        <w:tblPrEx>
          <w:tblLayout w:type="fixed"/>
          <w:tblCellMar>
            <w:top w:w="0" w:type="dxa"/>
            <w:left w:w="108" w:type="dxa"/>
            <w:bottom w:w="0" w:type="dxa"/>
            <w:right w:w="108" w:type="dxa"/>
          </w:tblCellMar>
        </w:tblPrEx>
        <w:trPr>
          <w:trHeight w:val="567" w:hRule="atLeast"/>
          <w:jc w:val="center"/>
        </w:trPr>
        <w:tc>
          <w:tcPr>
            <w:tcW w:w="14174" w:type="dxa"/>
            <w:gridSpan w:val="2"/>
            <w:tcBorders>
              <w:top w:val="nil"/>
              <w:left w:val="nil"/>
              <w:bottom w:val="single" w:color="auto" w:sz="4" w:space="0"/>
              <w:right w:val="nil"/>
            </w:tcBorders>
            <w:shd w:val="clear" w:color="000000" w:fill="FFFFFF"/>
            <w:noWrap/>
            <w:vAlign w:val="center"/>
          </w:tcPr>
          <w:p>
            <w:pPr>
              <w:widowControl/>
              <w:jc w:val="left"/>
              <w:rPr>
                <w:kern w:val="0"/>
                <w:sz w:val="22"/>
                <w:szCs w:val="22"/>
              </w:rPr>
            </w:pPr>
            <w:r>
              <w:rPr>
                <w:kern w:val="0"/>
                <w:sz w:val="22"/>
                <w:szCs w:val="22"/>
              </w:rPr>
              <w:t>部门：</w:t>
            </w:r>
            <w:r>
              <w:rPr>
                <w:rFonts w:hint="eastAsia"/>
                <w:kern w:val="0"/>
                <w:sz w:val="22"/>
                <w:szCs w:val="22"/>
                <w:lang w:eastAsia="zh-CN"/>
              </w:rPr>
              <w:t>湖北省农业科学院南湖试验站</w:t>
            </w:r>
            <w:r>
              <w:rPr>
                <w:kern w:val="0"/>
                <w:sz w:val="22"/>
                <w:szCs w:val="22"/>
              </w:rPr>
              <w:t xml:space="preserve">　      </w:t>
            </w:r>
            <w:r>
              <w:rPr>
                <w:rFonts w:hint="eastAsia"/>
                <w:kern w:val="0"/>
                <w:sz w:val="22"/>
                <w:szCs w:val="22"/>
                <w:lang w:val="en-US" w:eastAsia="zh-CN"/>
              </w:rPr>
              <w:t xml:space="preserve">                </w:t>
            </w:r>
            <w:r>
              <w:rPr>
                <w:kern w:val="0"/>
                <w:sz w:val="22"/>
                <w:szCs w:val="22"/>
              </w:rPr>
              <w:t xml:space="preserve">      202</w:t>
            </w:r>
            <w:r>
              <w:rPr>
                <w:rFonts w:hint="eastAsia"/>
                <w:kern w:val="0"/>
                <w:sz w:val="22"/>
                <w:szCs w:val="22"/>
              </w:rPr>
              <w:t>2</w:t>
            </w:r>
            <w:r>
              <w:rPr>
                <w:kern w:val="0"/>
                <w:sz w:val="22"/>
                <w:szCs w:val="22"/>
              </w:rPr>
              <w:t xml:space="preserve">年度                     </w:t>
            </w:r>
            <w:r>
              <w:rPr>
                <w:rFonts w:hint="eastAsia"/>
                <w:kern w:val="0"/>
                <w:sz w:val="22"/>
                <w:szCs w:val="22"/>
                <w:lang w:val="en-US" w:eastAsia="zh-CN"/>
              </w:rPr>
              <w:t xml:space="preserve">                  </w:t>
            </w:r>
            <w:r>
              <w:rPr>
                <w:kern w:val="0"/>
                <w:sz w:val="22"/>
                <w:szCs w:val="22"/>
              </w:rPr>
              <w:t xml:space="preserve">       单位：万元</w:t>
            </w:r>
          </w:p>
        </w:tc>
      </w:tr>
      <w:tr>
        <w:tblPrEx>
          <w:tblLayout w:type="fixed"/>
          <w:tblCellMar>
            <w:top w:w="0" w:type="dxa"/>
            <w:left w:w="108" w:type="dxa"/>
            <w:bottom w:w="0" w:type="dxa"/>
            <w:right w:w="108" w:type="dxa"/>
          </w:tblCellMar>
        </w:tblPrEx>
        <w:trPr>
          <w:trHeight w:val="567" w:hRule="atLeast"/>
          <w:jc w:val="center"/>
        </w:trPr>
        <w:tc>
          <w:tcPr>
            <w:tcW w:w="6288" w:type="dxa"/>
            <w:tcBorders>
              <w:top w:val="nil"/>
              <w:left w:val="single" w:color="auto" w:sz="4" w:space="0"/>
              <w:bottom w:val="nil"/>
              <w:right w:val="single" w:color="auto" w:sz="4" w:space="0"/>
            </w:tcBorders>
            <w:noWrap/>
            <w:vAlign w:val="center"/>
          </w:tcPr>
          <w:p>
            <w:pPr>
              <w:widowControl/>
              <w:jc w:val="center"/>
              <w:rPr>
                <w:color w:val="000000"/>
                <w:kern w:val="0"/>
                <w:sz w:val="22"/>
                <w:szCs w:val="22"/>
              </w:rPr>
            </w:pPr>
            <w:r>
              <w:rPr>
                <w:color w:val="000000"/>
                <w:kern w:val="0"/>
                <w:sz w:val="22"/>
                <w:szCs w:val="22"/>
              </w:rPr>
              <w:t>项目</w:t>
            </w:r>
          </w:p>
        </w:tc>
        <w:tc>
          <w:tcPr>
            <w:tcW w:w="7886" w:type="dxa"/>
            <w:tcBorders>
              <w:top w:val="nil"/>
              <w:left w:val="nil"/>
              <w:bottom w:val="nil"/>
              <w:right w:val="single" w:color="auto" w:sz="4" w:space="0"/>
            </w:tcBorders>
            <w:noWrap/>
            <w:vAlign w:val="center"/>
          </w:tcPr>
          <w:p>
            <w:pPr>
              <w:widowControl/>
              <w:jc w:val="center"/>
              <w:rPr>
                <w:color w:val="000000"/>
                <w:kern w:val="0"/>
                <w:sz w:val="22"/>
                <w:szCs w:val="22"/>
              </w:rPr>
            </w:pPr>
            <w:r>
              <w:rPr>
                <w:color w:val="000000"/>
                <w:kern w:val="0"/>
                <w:sz w:val="22"/>
                <w:szCs w:val="22"/>
              </w:rPr>
              <w:t>决算数</w:t>
            </w:r>
          </w:p>
        </w:tc>
      </w:tr>
      <w:tr>
        <w:tblPrEx>
          <w:tblLayout w:type="fixed"/>
          <w:tblCellMar>
            <w:top w:w="0" w:type="dxa"/>
            <w:left w:w="108" w:type="dxa"/>
            <w:bottom w:w="0" w:type="dxa"/>
            <w:right w:w="108" w:type="dxa"/>
          </w:tblCellMar>
        </w:tblPrEx>
        <w:trPr>
          <w:trHeight w:val="567" w:hRule="atLeast"/>
          <w:jc w:val="center"/>
        </w:trPr>
        <w:tc>
          <w:tcPr>
            <w:tcW w:w="6288" w:type="dxa"/>
            <w:tcBorders>
              <w:top w:val="single" w:color="auto" w:sz="4" w:space="0"/>
              <w:left w:val="single" w:color="auto" w:sz="4" w:space="0"/>
              <w:bottom w:val="nil"/>
              <w:right w:val="nil"/>
            </w:tcBorders>
            <w:noWrap/>
            <w:vAlign w:val="center"/>
          </w:tcPr>
          <w:p>
            <w:pPr>
              <w:widowControl/>
              <w:jc w:val="center"/>
              <w:rPr>
                <w:color w:val="000000"/>
                <w:kern w:val="0"/>
                <w:sz w:val="22"/>
                <w:szCs w:val="22"/>
              </w:rPr>
            </w:pPr>
            <w:r>
              <w:rPr>
                <w:color w:val="000000"/>
                <w:kern w:val="0"/>
                <w:sz w:val="22"/>
                <w:szCs w:val="22"/>
              </w:rPr>
              <w:t>无</w:t>
            </w:r>
          </w:p>
        </w:tc>
        <w:tc>
          <w:tcPr>
            <w:tcW w:w="7886"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0.00</w:t>
            </w:r>
          </w:p>
        </w:tc>
      </w:tr>
      <w:tr>
        <w:tblPrEx>
          <w:tblLayout w:type="fixed"/>
          <w:tblCellMar>
            <w:top w:w="0" w:type="dxa"/>
            <w:left w:w="108" w:type="dxa"/>
            <w:bottom w:w="0" w:type="dxa"/>
            <w:right w:w="108" w:type="dxa"/>
          </w:tblCellMar>
        </w:tblPrEx>
        <w:trPr>
          <w:trHeight w:val="567" w:hRule="atLeast"/>
          <w:jc w:val="center"/>
        </w:trPr>
        <w:tc>
          <w:tcPr>
            <w:tcW w:w="6288" w:type="dxa"/>
            <w:tcBorders>
              <w:top w:val="single" w:color="auto" w:sz="4" w:space="0"/>
              <w:left w:val="single" w:color="auto" w:sz="4" w:space="0"/>
              <w:bottom w:val="single" w:color="auto" w:sz="4" w:space="0"/>
              <w:right w:val="nil"/>
            </w:tcBorders>
            <w:noWrap/>
            <w:vAlign w:val="center"/>
          </w:tcPr>
          <w:p>
            <w:pPr>
              <w:widowControl/>
              <w:jc w:val="center"/>
              <w:rPr>
                <w:kern w:val="0"/>
                <w:sz w:val="22"/>
                <w:szCs w:val="22"/>
              </w:rPr>
            </w:pPr>
            <w:r>
              <w:rPr>
                <w:kern w:val="0"/>
                <w:sz w:val="22"/>
                <w:szCs w:val="22"/>
              </w:rPr>
              <w:t>无</w:t>
            </w:r>
          </w:p>
        </w:tc>
        <w:tc>
          <w:tcPr>
            <w:tcW w:w="7886"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0.00</w:t>
            </w:r>
          </w:p>
        </w:tc>
      </w:tr>
      <w:tr>
        <w:tblPrEx>
          <w:tblLayout w:type="fixed"/>
          <w:tblCellMar>
            <w:top w:w="0" w:type="dxa"/>
            <w:left w:w="108" w:type="dxa"/>
            <w:bottom w:w="0" w:type="dxa"/>
            <w:right w:w="108" w:type="dxa"/>
          </w:tblCellMar>
        </w:tblPrEx>
        <w:trPr>
          <w:trHeight w:val="567" w:hRule="atLeast"/>
          <w:jc w:val="center"/>
        </w:trPr>
        <w:tc>
          <w:tcPr>
            <w:tcW w:w="14174" w:type="dxa"/>
            <w:gridSpan w:val="2"/>
            <w:tcBorders>
              <w:top w:val="nil"/>
              <w:left w:val="nil"/>
              <w:bottom w:val="nil"/>
              <w:right w:val="nil"/>
            </w:tcBorders>
            <w:shd w:val="clear" w:color="000000" w:fill="FFFFFF"/>
            <w:noWrap/>
            <w:vAlign w:val="center"/>
          </w:tcPr>
          <w:p>
            <w:pPr>
              <w:widowControl/>
              <w:jc w:val="left"/>
              <w:rPr>
                <w:color w:val="000000"/>
                <w:kern w:val="0"/>
                <w:sz w:val="22"/>
                <w:szCs w:val="22"/>
              </w:rPr>
            </w:pPr>
            <w:r>
              <w:rPr>
                <w:rFonts w:hint="eastAsia" w:ascii="宋体" w:hAnsi="宋体" w:eastAsia="宋体" w:cs="宋体"/>
                <w:i w:val="0"/>
                <w:iCs w:val="0"/>
                <w:color w:val="000000"/>
                <w:kern w:val="0"/>
                <w:sz w:val="20"/>
                <w:szCs w:val="20"/>
                <w:u w:val="none"/>
                <w:lang w:val="en-US" w:eastAsia="zh-CN" w:bidi="ar"/>
              </w:rPr>
              <w:t>注：本表包括部门分配管理的本级专项和对下转移支付项目。本单位无财政专项支出。</w:t>
            </w:r>
          </w:p>
        </w:tc>
      </w:tr>
    </w:tbl>
    <w:p>
      <w:pPr>
        <w:shd w:val="clear" w:color="auto" w:fill="FFFFFF"/>
        <w:spacing w:before="240" w:after="240" w:line="360" w:lineRule="auto"/>
        <w:rPr>
          <w:rFonts w:eastAsia="黑体"/>
          <w:sz w:val="32"/>
          <w:szCs w:val="32"/>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9" w:charSpace="0"/>
        </w:sectPr>
      </w:pPr>
    </w:p>
    <w:p>
      <w:pPr>
        <w:spacing w:line="560" w:lineRule="exact"/>
        <w:jc w:val="center"/>
        <w:rPr>
          <w:rFonts w:eastAsia="方正小标宋简体"/>
          <w:sz w:val="32"/>
          <w:szCs w:val="32"/>
        </w:rPr>
      </w:pPr>
      <w:r>
        <w:rPr>
          <w:rFonts w:eastAsia="方正小标宋简体"/>
          <w:sz w:val="32"/>
          <w:szCs w:val="32"/>
        </w:rPr>
        <w:t>专项转移支付分市县情况表</w:t>
      </w:r>
    </w:p>
    <w:p>
      <w:pPr>
        <w:spacing w:line="560" w:lineRule="exact"/>
        <w:ind w:firstLine="640" w:firstLineChars="200"/>
        <w:jc w:val="center"/>
        <w:rPr>
          <w:rFonts w:eastAsia="黑体"/>
          <w:sz w:val="32"/>
          <w:szCs w:val="32"/>
        </w:rPr>
      </w:pPr>
    </w:p>
    <w:tbl>
      <w:tblPr>
        <w:tblStyle w:val="7"/>
        <w:tblW w:w="14168" w:type="dxa"/>
        <w:jc w:val="center"/>
        <w:tblInd w:w="0" w:type="dxa"/>
        <w:tblLayout w:type="fixed"/>
        <w:tblCellMar>
          <w:top w:w="0" w:type="dxa"/>
          <w:left w:w="108" w:type="dxa"/>
          <w:bottom w:w="0" w:type="dxa"/>
          <w:right w:w="108" w:type="dxa"/>
        </w:tblCellMar>
      </w:tblPr>
      <w:tblGrid>
        <w:gridCol w:w="2830"/>
        <w:gridCol w:w="1876"/>
        <w:gridCol w:w="2831"/>
        <w:gridCol w:w="1887"/>
        <w:gridCol w:w="2831"/>
        <w:gridCol w:w="1913"/>
      </w:tblGrid>
      <w:tr>
        <w:tblPrEx>
          <w:tblLayout w:type="fixed"/>
          <w:tblCellMar>
            <w:top w:w="0" w:type="dxa"/>
            <w:left w:w="108" w:type="dxa"/>
            <w:bottom w:w="0" w:type="dxa"/>
            <w:right w:w="108" w:type="dxa"/>
          </w:tblCellMar>
        </w:tblPrEx>
        <w:trPr>
          <w:trHeight w:val="285" w:hRule="atLeast"/>
          <w:jc w:val="center"/>
        </w:trPr>
        <w:tc>
          <w:tcPr>
            <w:tcW w:w="2830" w:type="dxa"/>
            <w:tcBorders>
              <w:top w:val="nil"/>
              <w:left w:val="nil"/>
              <w:bottom w:val="nil"/>
              <w:right w:val="nil"/>
            </w:tcBorders>
            <w:noWrap/>
            <w:vAlign w:val="center"/>
          </w:tcPr>
          <w:p>
            <w:pPr>
              <w:widowControl/>
              <w:jc w:val="left"/>
              <w:rPr>
                <w:kern w:val="0"/>
                <w:sz w:val="22"/>
                <w:szCs w:val="22"/>
              </w:rPr>
            </w:pPr>
            <w:r>
              <w:rPr>
                <w:kern w:val="0"/>
                <w:sz w:val="22"/>
                <w:szCs w:val="22"/>
              </w:rPr>
              <w:t>项目名称：</w:t>
            </w:r>
          </w:p>
        </w:tc>
        <w:tc>
          <w:tcPr>
            <w:tcW w:w="6594" w:type="dxa"/>
            <w:gridSpan w:val="3"/>
            <w:tcBorders>
              <w:top w:val="nil"/>
              <w:left w:val="nil"/>
              <w:bottom w:val="nil"/>
              <w:right w:val="nil"/>
            </w:tcBorders>
            <w:noWrap/>
            <w:vAlign w:val="center"/>
          </w:tcPr>
          <w:p>
            <w:pPr>
              <w:widowControl/>
              <w:jc w:val="left"/>
              <w:rPr>
                <w:kern w:val="0"/>
                <w:sz w:val="22"/>
                <w:szCs w:val="22"/>
              </w:rPr>
            </w:pPr>
          </w:p>
        </w:tc>
        <w:tc>
          <w:tcPr>
            <w:tcW w:w="2831" w:type="dxa"/>
            <w:tcBorders>
              <w:top w:val="nil"/>
              <w:left w:val="nil"/>
              <w:bottom w:val="nil"/>
              <w:right w:val="nil"/>
            </w:tcBorders>
            <w:noWrap/>
            <w:vAlign w:val="center"/>
          </w:tcPr>
          <w:p>
            <w:pPr>
              <w:widowControl/>
              <w:jc w:val="left"/>
              <w:rPr>
                <w:kern w:val="0"/>
                <w:sz w:val="22"/>
                <w:szCs w:val="22"/>
              </w:rPr>
            </w:pPr>
          </w:p>
        </w:tc>
        <w:tc>
          <w:tcPr>
            <w:tcW w:w="1913" w:type="dxa"/>
            <w:tcBorders>
              <w:top w:val="nil"/>
              <w:left w:val="nil"/>
              <w:bottom w:val="nil"/>
              <w:right w:val="nil"/>
            </w:tcBorders>
            <w:noWrap/>
            <w:vAlign w:val="center"/>
          </w:tcPr>
          <w:p>
            <w:pPr>
              <w:widowControl/>
              <w:jc w:val="left"/>
              <w:rPr>
                <w:kern w:val="0"/>
                <w:sz w:val="22"/>
                <w:szCs w:val="22"/>
              </w:rPr>
            </w:pPr>
            <w:r>
              <w:rPr>
                <w:kern w:val="0"/>
                <w:sz w:val="22"/>
                <w:szCs w:val="22"/>
              </w:rPr>
              <w:t>公开11表</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nil"/>
              <w:bottom w:val="nil"/>
              <w:right w:val="nil"/>
            </w:tcBorders>
            <w:noWrap/>
            <w:vAlign w:val="center"/>
          </w:tcPr>
          <w:p>
            <w:pPr>
              <w:widowControl/>
              <w:jc w:val="left"/>
              <w:rPr>
                <w:kern w:val="0"/>
                <w:sz w:val="22"/>
                <w:szCs w:val="22"/>
              </w:rPr>
            </w:pPr>
            <w:r>
              <w:rPr>
                <w:kern w:val="0"/>
                <w:sz w:val="22"/>
                <w:szCs w:val="22"/>
              </w:rPr>
              <w:t>功能科目：</w:t>
            </w:r>
          </w:p>
        </w:tc>
        <w:tc>
          <w:tcPr>
            <w:tcW w:w="11338" w:type="dxa"/>
            <w:gridSpan w:val="5"/>
            <w:tcBorders>
              <w:top w:val="nil"/>
              <w:left w:val="nil"/>
              <w:bottom w:val="single" w:color="auto" w:sz="4" w:space="0"/>
              <w:right w:val="nil"/>
            </w:tcBorders>
            <w:noWrap/>
            <w:vAlign w:val="center"/>
          </w:tcPr>
          <w:p>
            <w:pPr>
              <w:widowControl/>
              <w:jc w:val="center"/>
              <w:rPr>
                <w:kern w:val="0"/>
                <w:sz w:val="22"/>
                <w:szCs w:val="22"/>
              </w:rPr>
            </w:pPr>
            <w:r>
              <w:rPr>
                <w:kern w:val="0"/>
                <w:sz w:val="22"/>
                <w:szCs w:val="22"/>
              </w:rPr>
              <w:t xml:space="preserve">　                                              </w:t>
            </w:r>
            <w:r>
              <w:rPr>
                <w:rFonts w:hint="eastAsia"/>
                <w:kern w:val="0"/>
                <w:sz w:val="22"/>
                <w:szCs w:val="22"/>
              </w:rPr>
              <w:t xml:space="preserve">       </w:t>
            </w:r>
            <w:r>
              <w:rPr>
                <w:kern w:val="0"/>
                <w:sz w:val="22"/>
                <w:szCs w:val="22"/>
              </w:rPr>
              <w:t>单位：万元</w:t>
            </w:r>
          </w:p>
        </w:tc>
      </w:tr>
      <w:tr>
        <w:tblPrEx>
          <w:tblLayout w:type="fixed"/>
          <w:tblCellMar>
            <w:top w:w="0" w:type="dxa"/>
            <w:left w:w="108" w:type="dxa"/>
            <w:bottom w:w="0" w:type="dxa"/>
            <w:right w:w="108" w:type="dxa"/>
          </w:tblCellMar>
        </w:tblPrEx>
        <w:trPr>
          <w:trHeight w:val="285"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22"/>
                <w:szCs w:val="22"/>
              </w:rPr>
            </w:pPr>
            <w:r>
              <w:rPr>
                <w:kern w:val="0"/>
                <w:sz w:val="22"/>
                <w:szCs w:val="22"/>
              </w:rPr>
              <w:t>单位</w:t>
            </w:r>
          </w:p>
        </w:tc>
        <w:tc>
          <w:tcPr>
            <w:tcW w:w="1876"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金额</w:t>
            </w:r>
          </w:p>
        </w:tc>
        <w:tc>
          <w:tcPr>
            <w:tcW w:w="2831"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单位</w:t>
            </w:r>
          </w:p>
        </w:tc>
        <w:tc>
          <w:tcPr>
            <w:tcW w:w="1887"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金额</w:t>
            </w:r>
          </w:p>
        </w:tc>
        <w:tc>
          <w:tcPr>
            <w:tcW w:w="2831" w:type="dxa"/>
            <w:tcBorders>
              <w:top w:val="single" w:color="auto" w:sz="4" w:space="0"/>
              <w:left w:val="nil"/>
              <w:bottom w:val="single" w:color="auto" w:sz="4" w:space="0"/>
              <w:right w:val="single" w:color="auto" w:sz="4" w:space="0"/>
            </w:tcBorders>
            <w:vAlign w:val="center"/>
          </w:tcPr>
          <w:p>
            <w:pPr>
              <w:widowControl/>
              <w:jc w:val="center"/>
              <w:rPr>
                <w:kern w:val="0"/>
                <w:sz w:val="22"/>
                <w:szCs w:val="22"/>
              </w:rPr>
            </w:pPr>
            <w:r>
              <w:rPr>
                <w:kern w:val="0"/>
                <w:sz w:val="22"/>
                <w:szCs w:val="22"/>
              </w:rPr>
              <w:t>单位</w:t>
            </w:r>
          </w:p>
        </w:tc>
        <w:tc>
          <w:tcPr>
            <w:tcW w:w="1913" w:type="dxa"/>
            <w:tcBorders>
              <w:top w:val="single" w:color="auto" w:sz="4" w:space="0"/>
              <w:left w:val="nil"/>
              <w:bottom w:val="single" w:color="auto" w:sz="4" w:space="0"/>
              <w:right w:val="single" w:color="auto" w:sz="4" w:space="0"/>
            </w:tcBorders>
            <w:vAlign w:val="center"/>
          </w:tcPr>
          <w:p>
            <w:pPr>
              <w:widowControl/>
              <w:jc w:val="center"/>
              <w:rPr>
                <w:kern w:val="0"/>
                <w:sz w:val="22"/>
                <w:szCs w:val="22"/>
              </w:rPr>
            </w:pPr>
            <w:r>
              <w:rPr>
                <w:kern w:val="0"/>
                <w:sz w:val="22"/>
                <w:szCs w:val="22"/>
              </w:rPr>
              <w:t>金额</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vAlign w:val="center"/>
          </w:tcPr>
          <w:p>
            <w:pPr>
              <w:widowControl/>
              <w:jc w:val="center"/>
              <w:rPr>
                <w:b/>
                <w:bCs/>
                <w:kern w:val="0"/>
                <w:sz w:val="22"/>
                <w:szCs w:val="22"/>
              </w:rPr>
            </w:pPr>
            <w:r>
              <w:rPr>
                <w:b/>
                <w:bCs/>
                <w:kern w:val="0"/>
                <w:sz w:val="22"/>
                <w:szCs w:val="22"/>
              </w:rPr>
              <w:t>无</w:t>
            </w:r>
          </w:p>
        </w:tc>
        <w:tc>
          <w:tcPr>
            <w:tcW w:w="1876" w:type="dxa"/>
            <w:tcBorders>
              <w:top w:val="nil"/>
              <w:left w:val="nil"/>
              <w:bottom w:val="single" w:color="auto" w:sz="4" w:space="0"/>
              <w:right w:val="single" w:color="auto" w:sz="4" w:space="0"/>
            </w:tcBorders>
            <w:vAlign w:val="center"/>
          </w:tcPr>
          <w:p>
            <w:pPr>
              <w:widowControl/>
              <w:jc w:val="right"/>
              <w:rPr>
                <w:b/>
                <w:bCs/>
                <w:kern w:val="0"/>
                <w:sz w:val="22"/>
                <w:szCs w:val="22"/>
              </w:rPr>
            </w:pPr>
            <w:r>
              <w:rPr>
                <w:b/>
                <w:bCs/>
                <w:kern w:val="0"/>
                <w:sz w:val="22"/>
                <w:szCs w:val="22"/>
              </w:rPr>
              <w:t xml:space="preserve">0.00 </w:t>
            </w:r>
          </w:p>
        </w:tc>
        <w:tc>
          <w:tcPr>
            <w:tcW w:w="2831"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vAlign w:val="center"/>
          </w:tcPr>
          <w:p>
            <w:pPr>
              <w:widowControl/>
              <w:jc w:val="center"/>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85" w:hRule="atLeast"/>
          <w:jc w:val="center"/>
        </w:trPr>
        <w:tc>
          <w:tcPr>
            <w:tcW w:w="2830" w:type="dxa"/>
            <w:tcBorders>
              <w:top w:val="nil"/>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76" w:type="dxa"/>
            <w:tcBorders>
              <w:top w:val="nil"/>
              <w:left w:val="nil"/>
              <w:bottom w:val="single" w:color="auto" w:sz="4" w:space="0"/>
              <w:right w:val="single" w:color="auto" w:sz="4" w:space="0"/>
            </w:tcBorders>
            <w:noWrap/>
            <w:vAlign w:val="center"/>
          </w:tcPr>
          <w:p>
            <w:pPr>
              <w:widowControl/>
              <w:jc w:val="righ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887"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2831"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c>
          <w:tcPr>
            <w:tcW w:w="1913" w:type="dxa"/>
            <w:tcBorders>
              <w:top w:val="nil"/>
              <w:left w:val="nil"/>
              <w:bottom w:val="single" w:color="auto" w:sz="4" w:space="0"/>
              <w:right w:val="single" w:color="auto" w:sz="4" w:space="0"/>
            </w:tcBorders>
            <w:noWrap/>
            <w:vAlign w:val="center"/>
          </w:tcPr>
          <w:p>
            <w:pPr>
              <w:widowControl/>
              <w:jc w:val="left"/>
              <w:rPr>
                <w:kern w:val="0"/>
                <w:sz w:val="22"/>
                <w:szCs w:val="22"/>
              </w:rPr>
            </w:pPr>
            <w:r>
              <w:rPr>
                <w:kern w:val="0"/>
                <w:sz w:val="22"/>
                <w:szCs w:val="22"/>
              </w:rPr>
              <w:t>　</w:t>
            </w:r>
          </w:p>
        </w:tc>
      </w:tr>
      <w:tr>
        <w:tblPrEx>
          <w:tblLayout w:type="fixed"/>
          <w:tblCellMar>
            <w:top w:w="0" w:type="dxa"/>
            <w:left w:w="108" w:type="dxa"/>
            <w:bottom w:w="0" w:type="dxa"/>
            <w:right w:w="108" w:type="dxa"/>
          </w:tblCellMar>
        </w:tblPrEx>
        <w:trPr>
          <w:trHeight w:val="255" w:hRule="atLeast"/>
          <w:jc w:val="center"/>
        </w:trPr>
        <w:tc>
          <w:tcPr>
            <w:tcW w:w="2830" w:type="dxa"/>
            <w:tcBorders>
              <w:top w:val="nil"/>
              <w:left w:val="nil"/>
              <w:bottom w:val="nil"/>
              <w:right w:val="nil"/>
            </w:tcBorders>
            <w:noWrap/>
            <w:vAlign w:val="bottom"/>
          </w:tcPr>
          <w:p>
            <w:pPr>
              <w:widowControl/>
              <w:jc w:val="left"/>
              <w:rPr>
                <w:kern w:val="0"/>
                <w:sz w:val="22"/>
                <w:szCs w:val="22"/>
              </w:rPr>
            </w:pPr>
          </w:p>
        </w:tc>
        <w:tc>
          <w:tcPr>
            <w:tcW w:w="1876" w:type="dxa"/>
            <w:tcBorders>
              <w:top w:val="nil"/>
              <w:left w:val="nil"/>
              <w:bottom w:val="nil"/>
              <w:right w:val="nil"/>
            </w:tcBorders>
            <w:noWrap/>
            <w:vAlign w:val="bottom"/>
          </w:tcPr>
          <w:p>
            <w:pPr>
              <w:widowControl/>
              <w:jc w:val="left"/>
              <w:rPr>
                <w:kern w:val="0"/>
                <w:sz w:val="22"/>
                <w:szCs w:val="22"/>
              </w:rPr>
            </w:pPr>
          </w:p>
        </w:tc>
        <w:tc>
          <w:tcPr>
            <w:tcW w:w="2831" w:type="dxa"/>
            <w:tcBorders>
              <w:top w:val="nil"/>
              <w:left w:val="nil"/>
              <w:bottom w:val="nil"/>
              <w:right w:val="nil"/>
            </w:tcBorders>
            <w:noWrap/>
            <w:vAlign w:val="bottom"/>
          </w:tcPr>
          <w:p>
            <w:pPr>
              <w:widowControl/>
              <w:jc w:val="left"/>
              <w:rPr>
                <w:kern w:val="0"/>
                <w:sz w:val="22"/>
                <w:szCs w:val="22"/>
              </w:rPr>
            </w:pPr>
          </w:p>
        </w:tc>
        <w:tc>
          <w:tcPr>
            <w:tcW w:w="1887" w:type="dxa"/>
            <w:tcBorders>
              <w:top w:val="nil"/>
              <w:left w:val="nil"/>
              <w:bottom w:val="nil"/>
              <w:right w:val="nil"/>
            </w:tcBorders>
            <w:noWrap/>
            <w:vAlign w:val="bottom"/>
          </w:tcPr>
          <w:p>
            <w:pPr>
              <w:widowControl/>
              <w:jc w:val="left"/>
              <w:rPr>
                <w:kern w:val="0"/>
                <w:sz w:val="22"/>
                <w:szCs w:val="22"/>
              </w:rPr>
            </w:pPr>
          </w:p>
        </w:tc>
        <w:tc>
          <w:tcPr>
            <w:tcW w:w="2831" w:type="dxa"/>
            <w:tcBorders>
              <w:top w:val="nil"/>
              <w:left w:val="nil"/>
              <w:bottom w:val="nil"/>
              <w:right w:val="nil"/>
            </w:tcBorders>
            <w:noWrap/>
            <w:vAlign w:val="bottom"/>
          </w:tcPr>
          <w:p>
            <w:pPr>
              <w:widowControl/>
              <w:jc w:val="left"/>
              <w:rPr>
                <w:kern w:val="0"/>
                <w:sz w:val="22"/>
                <w:szCs w:val="22"/>
              </w:rPr>
            </w:pPr>
          </w:p>
        </w:tc>
        <w:tc>
          <w:tcPr>
            <w:tcW w:w="1913" w:type="dxa"/>
            <w:tcBorders>
              <w:top w:val="nil"/>
              <w:left w:val="nil"/>
              <w:bottom w:val="nil"/>
              <w:right w:val="nil"/>
            </w:tcBorders>
            <w:noWrap/>
            <w:vAlign w:val="bottom"/>
          </w:tcPr>
          <w:p>
            <w:pPr>
              <w:widowControl/>
              <w:jc w:val="left"/>
              <w:rPr>
                <w:kern w:val="0"/>
                <w:sz w:val="22"/>
                <w:szCs w:val="22"/>
              </w:rPr>
            </w:pPr>
          </w:p>
        </w:tc>
      </w:tr>
      <w:tr>
        <w:tblPrEx>
          <w:tblLayout w:type="fixed"/>
          <w:tblCellMar>
            <w:top w:w="0" w:type="dxa"/>
            <w:left w:w="108" w:type="dxa"/>
            <w:bottom w:w="0" w:type="dxa"/>
            <w:right w:w="108" w:type="dxa"/>
          </w:tblCellMar>
        </w:tblPrEx>
        <w:trPr>
          <w:trHeight w:val="304" w:hRule="atLeast"/>
          <w:jc w:val="center"/>
        </w:trPr>
        <w:tc>
          <w:tcPr>
            <w:tcW w:w="14168" w:type="dxa"/>
            <w:gridSpan w:val="6"/>
            <w:tcBorders>
              <w:top w:val="nil"/>
              <w:left w:val="nil"/>
              <w:bottom w:val="nil"/>
              <w:right w:val="nil"/>
            </w:tcBorders>
            <w:noWrap/>
            <w:vAlign w:val="bottom"/>
          </w:tcPr>
          <w:p>
            <w:pPr>
              <w:widowControl/>
              <w:jc w:val="left"/>
              <w:rPr>
                <w:kern w:val="0"/>
                <w:sz w:val="22"/>
                <w:szCs w:val="22"/>
              </w:rPr>
            </w:pPr>
            <w:r>
              <w:rPr>
                <w:rFonts w:hint="eastAsia" w:ascii="宋体" w:hAnsi="宋体" w:eastAsia="宋体" w:cs="宋体"/>
                <w:i w:val="0"/>
                <w:iCs w:val="0"/>
                <w:color w:val="000000"/>
                <w:kern w:val="0"/>
                <w:sz w:val="20"/>
                <w:szCs w:val="20"/>
                <w:u w:val="none"/>
                <w:lang w:val="en-US" w:eastAsia="zh-CN" w:bidi="ar"/>
              </w:rPr>
              <w:t>注：本单位无专项转移支付情况</w:t>
            </w:r>
          </w:p>
        </w:tc>
      </w:tr>
    </w:tbl>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pPr>
    </w:p>
    <w:p>
      <w:pPr>
        <w:rPr>
          <w:rFonts w:eastAsia="方正小标宋简体"/>
          <w:sz w:val="44"/>
          <w:szCs w:val="44"/>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9" w:charSpace="0"/>
        </w:sectPr>
      </w:pPr>
    </w:p>
    <w:p>
      <w:pPr>
        <w:spacing w:line="560" w:lineRule="exact"/>
        <w:jc w:val="center"/>
        <w:rPr>
          <w:rFonts w:eastAsia="方正小标宋简体"/>
          <w:sz w:val="44"/>
          <w:szCs w:val="44"/>
          <w:highlight w:val="yellow"/>
        </w:rPr>
      </w:pPr>
      <w:r>
        <w:rPr>
          <w:rFonts w:eastAsia="方正小标宋简体"/>
          <w:sz w:val="44"/>
          <w:szCs w:val="44"/>
          <w:highlight w:val="none"/>
        </w:rPr>
        <w:t xml:space="preserve">第三部分 </w:t>
      </w:r>
      <w:r>
        <w:rPr>
          <w:rFonts w:hint="eastAsia" w:eastAsia="方正小标宋简体"/>
          <w:sz w:val="44"/>
          <w:szCs w:val="44"/>
          <w:highlight w:val="none"/>
        </w:rPr>
        <w:t>202</w:t>
      </w:r>
      <w:r>
        <w:rPr>
          <w:rFonts w:hint="eastAsia" w:eastAsia="方正小标宋简体"/>
          <w:sz w:val="44"/>
          <w:szCs w:val="44"/>
          <w:highlight w:val="none"/>
          <w:lang w:val="en-US" w:eastAsia="zh-CN"/>
        </w:rPr>
        <w:t>3</w:t>
      </w:r>
      <w:r>
        <w:rPr>
          <w:rFonts w:eastAsia="方正小标宋简体"/>
          <w:sz w:val="44"/>
          <w:szCs w:val="44"/>
          <w:highlight w:val="none"/>
        </w:rPr>
        <w:t>年部门决算情况说明</w:t>
      </w:r>
    </w:p>
    <w:p>
      <w:pPr>
        <w:spacing w:line="560" w:lineRule="exact"/>
        <w:rPr>
          <w:rFonts w:eastAsia="方正小标宋简体"/>
          <w:sz w:val="44"/>
          <w:szCs w:val="44"/>
        </w:rPr>
      </w:pPr>
    </w:p>
    <w:p>
      <w:pPr>
        <w:adjustRightInd w:val="0"/>
        <w:snapToGrid w:val="0"/>
        <w:spacing w:line="580" w:lineRule="atLeast"/>
        <w:ind w:firstLine="640" w:firstLineChars="200"/>
        <w:rPr>
          <w:rFonts w:eastAsia="黑体"/>
          <w:bCs/>
          <w:sz w:val="32"/>
          <w:szCs w:val="32"/>
        </w:rPr>
      </w:pPr>
      <w:r>
        <w:rPr>
          <w:rFonts w:eastAsia="黑体"/>
          <w:bCs/>
          <w:sz w:val="32"/>
          <w:szCs w:val="32"/>
        </w:rPr>
        <w:t>一、收入支出决算总体情况说明</w:t>
      </w:r>
    </w:p>
    <w:p>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年度收、支总计均为</w:t>
      </w:r>
      <w:r>
        <w:rPr>
          <w:rFonts w:hint="eastAsia" w:eastAsia="仿宋_GB2312"/>
          <w:bCs/>
          <w:sz w:val="32"/>
          <w:szCs w:val="32"/>
          <w:lang w:val="en-US" w:eastAsia="zh-CN"/>
        </w:rPr>
        <w:t>4342.85</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年度相比，收、支总计</w:t>
      </w:r>
      <w:r>
        <w:rPr>
          <w:rFonts w:hint="eastAsia" w:eastAsia="仿宋_GB2312"/>
          <w:bCs/>
          <w:sz w:val="32"/>
          <w:szCs w:val="32"/>
          <w:lang w:val="en-US" w:eastAsia="zh-CN"/>
        </w:rPr>
        <w:t>减少436.71</w:t>
      </w:r>
      <w:r>
        <w:rPr>
          <w:rFonts w:hint="eastAsia" w:eastAsia="仿宋_GB2312"/>
          <w:bCs/>
          <w:sz w:val="32"/>
          <w:szCs w:val="32"/>
        </w:rPr>
        <w:t>万元，</w:t>
      </w:r>
      <w:r>
        <w:rPr>
          <w:rFonts w:hint="eastAsia" w:eastAsia="仿宋_GB2312"/>
          <w:bCs/>
          <w:sz w:val="32"/>
          <w:szCs w:val="32"/>
          <w:lang w:val="en-US" w:eastAsia="zh-CN"/>
        </w:rPr>
        <w:t>减少9.14</w:t>
      </w:r>
      <w:r>
        <w:rPr>
          <w:rFonts w:hint="eastAsia" w:eastAsia="仿宋_GB2312"/>
          <w:bCs/>
          <w:sz w:val="32"/>
          <w:szCs w:val="32"/>
        </w:rPr>
        <w:t>%，主要原因是</w:t>
      </w:r>
      <w:r>
        <w:rPr>
          <w:rFonts w:hint="eastAsia" w:eastAsia="仿宋_GB2312"/>
          <w:bCs/>
          <w:sz w:val="32"/>
          <w:szCs w:val="32"/>
          <w:lang w:val="en-US" w:eastAsia="zh-CN"/>
        </w:rPr>
        <w:t>落实“过紧日子”要求，</w:t>
      </w:r>
      <w:r>
        <w:rPr>
          <w:rFonts w:hint="eastAsia" w:eastAsia="仿宋_GB2312"/>
          <w:bCs/>
          <w:sz w:val="32"/>
          <w:szCs w:val="32"/>
        </w:rPr>
        <w:t>把牢预算管理、资产配置、政府采购等关口</w:t>
      </w:r>
      <w:r>
        <w:rPr>
          <w:rFonts w:hint="eastAsia" w:eastAsia="仿宋_GB2312"/>
          <w:bCs/>
          <w:sz w:val="32"/>
          <w:szCs w:val="32"/>
          <w:lang w:eastAsia="zh-CN"/>
        </w:rPr>
        <w:t>，</w:t>
      </w:r>
      <w:r>
        <w:rPr>
          <w:rFonts w:hint="eastAsia" w:eastAsia="仿宋_GB2312"/>
          <w:bCs/>
          <w:sz w:val="32"/>
          <w:szCs w:val="32"/>
        </w:rPr>
        <w:t>严控制一般性支出，加强“三公”经费管理，</w:t>
      </w:r>
      <w:r>
        <w:rPr>
          <w:rFonts w:hint="eastAsia" w:eastAsia="仿宋_GB2312"/>
          <w:bCs/>
          <w:sz w:val="32"/>
          <w:szCs w:val="32"/>
          <w:lang w:val="en-US" w:eastAsia="zh-CN"/>
        </w:rPr>
        <w:t>坚持勤俭办一切事业</w:t>
      </w:r>
      <w:r>
        <w:rPr>
          <w:rFonts w:hint="eastAsia" w:eastAsia="仿宋_GB2312"/>
          <w:bCs/>
          <w:sz w:val="32"/>
          <w:szCs w:val="32"/>
        </w:rPr>
        <w:t>。</w:t>
      </w:r>
    </w:p>
    <w:p>
      <w:pPr>
        <w:adjustRightInd w:val="0"/>
        <w:snapToGrid w:val="0"/>
        <w:spacing w:line="560" w:lineRule="atLeast"/>
        <w:rPr>
          <w:rFonts w:hint="eastAsia" w:eastAsia="仿宋_GB2312"/>
          <w:bCs/>
          <w:sz w:val="32"/>
          <w:szCs w:val="32"/>
        </w:rPr>
      </w:pPr>
    </w:p>
    <w:p>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lang w:eastAsia="zh-CN"/>
        </w:rPr>
        <w:drawing>
          <wp:anchor distT="0" distB="0" distL="114300" distR="114300" simplePos="0" relativeHeight="251660288" behindDoc="0" locked="0" layoutInCell="1" allowOverlap="1">
            <wp:simplePos x="0" y="0"/>
            <wp:positionH relativeFrom="column">
              <wp:posOffset>410845</wp:posOffset>
            </wp:positionH>
            <wp:positionV relativeFrom="paragraph">
              <wp:posOffset>4445</wp:posOffset>
            </wp:positionV>
            <wp:extent cx="5080000" cy="3810000"/>
            <wp:effectExtent l="4445" t="4445" r="20955" b="1460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adjustRightInd w:val="0"/>
        <w:snapToGrid w:val="0"/>
        <w:spacing w:line="580" w:lineRule="atLeast"/>
        <w:ind w:firstLine="600" w:firstLineChars="200"/>
        <w:jc w:val="center"/>
        <w:rPr>
          <w:rFonts w:eastAsia="仿宋_GB2312"/>
          <w:bCs/>
          <w:sz w:val="30"/>
          <w:szCs w:val="30"/>
        </w:rPr>
      </w:pPr>
      <w:r>
        <w:rPr>
          <w:rFonts w:eastAsia="仿宋_GB2312"/>
          <w:bCs/>
          <w:sz w:val="30"/>
          <w:szCs w:val="30"/>
        </w:rPr>
        <w:t>图1：收、支决算总计变动情况</w:t>
      </w:r>
    </w:p>
    <w:p>
      <w:pPr>
        <w:adjustRightInd w:val="0"/>
        <w:snapToGrid w:val="0"/>
        <w:spacing w:line="580" w:lineRule="atLeast"/>
        <w:ind w:firstLine="600" w:firstLineChars="200"/>
        <w:jc w:val="center"/>
        <w:rPr>
          <w:rFonts w:eastAsia="仿宋_GB2312"/>
          <w:bCs/>
          <w:sz w:val="30"/>
          <w:szCs w:val="30"/>
        </w:rPr>
      </w:pPr>
    </w:p>
    <w:p>
      <w:pPr>
        <w:adjustRightInd w:val="0"/>
        <w:snapToGrid w:val="0"/>
        <w:spacing w:line="580" w:lineRule="atLeast"/>
        <w:jc w:val="both"/>
        <w:rPr>
          <w:rFonts w:eastAsia="仿宋_GB2312"/>
          <w:bCs/>
          <w:sz w:val="30"/>
          <w:szCs w:val="30"/>
        </w:rPr>
      </w:pPr>
    </w:p>
    <w:p>
      <w:pPr>
        <w:adjustRightInd w:val="0"/>
        <w:snapToGrid w:val="0"/>
        <w:spacing w:line="580" w:lineRule="atLeast"/>
        <w:ind w:firstLine="640" w:firstLineChars="200"/>
        <w:rPr>
          <w:rFonts w:eastAsia="黑体"/>
          <w:bCs/>
          <w:sz w:val="32"/>
          <w:szCs w:val="32"/>
        </w:rPr>
      </w:pPr>
      <w:r>
        <w:rPr>
          <w:rFonts w:eastAsia="黑体"/>
          <w:bCs/>
          <w:sz w:val="32"/>
          <w:szCs w:val="32"/>
        </w:rPr>
        <w:t>二、收入决算情况说明</w:t>
      </w:r>
    </w:p>
    <w:p>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年度收入合计</w:t>
      </w:r>
      <w:r>
        <w:rPr>
          <w:rFonts w:hint="eastAsia" w:eastAsia="仿宋_GB2312"/>
          <w:bCs/>
          <w:sz w:val="32"/>
          <w:szCs w:val="32"/>
          <w:lang w:val="en-US" w:eastAsia="zh-CN"/>
        </w:rPr>
        <w:t>4234.46</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年度相比，收入合计</w:t>
      </w:r>
      <w:r>
        <w:rPr>
          <w:rFonts w:hint="eastAsia" w:eastAsia="仿宋_GB2312"/>
          <w:bCs/>
          <w:sz w:val="32"/>
          <w:szCs w:val="32"/>
          <w:lang w:val="en-US" w:eastAsia="zh-CN"/>
        </w:rPr>
        <w:t>减少473.66</w:t>
      </w:r>
      <w:r>
        <w:rPr>
          <w:rFonts w:hint="eastAsia" w:eastAsia="仿宋_GB2312"/>
          <w:bCs/>
          <w:sz w:val="32"/>
          <w:szCs w:val="32"/>
        </w:rPr>
        <w:t>万元，</w:t>
      </w:r>
      <w:r>
        <w:rPr>
          <w:rFonts w:hint="eastAsia" w:eastAsia="仿宋_GB2312"/>
          <w:bCs/>
          <w:sz w:val="32"/>
          <w:szCs w:val="32"/>
          <w:lang w:val="en-US" w:eastAsia="zh-CN"/>
        </w:rPr>
        <w:t>减少10.06</w:t>
      </w:r>
      <w:r>
        <w:rPr>
          <w:rFonts w:hint="eastAsia" w:eastAsia="仿宋_GB2312"/>
          <w:bCs/>
          <w:sz w:val="32"/>
          <w:szCs w:val="32"/>
        </w:rPr>
        <w:t>%，主要原因是2022年国有资产收益安排支出</w:t>
      </w:r>
      <w:r>
        <w:rPr>
          <w:rFonts w:hint="eastAsia" w:eastAsia="仿宋_GB2312"/>
          <w:bCs/>
          <w:sz w:val="32"/>
          <w:szCs w:val="32"/>
          <w:lang w:val="en-US" w:eastAsia="zh-CN"/>
        </w:rPr>
        <w:t>减少</w:t>
      </w:r>
      <w:r>
        <w:rPr>
          <w:rFonts w:hint="eastAsia" w:eastAsia="仿宋_GB2312"/>
          <w:bCs/>
          <w:sz w:val="32"/>
          <w:szCs w:val="32"/>
        </w:rPr>
        <w:t>。</w:t>
      </w:r>
    </w:p>
    <w:p>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rPr>
        <w:t xml:space="preserve">其中：财政拨款收入 </w:t>
      </w:r>
      <w:r>
        <w:rPr>
          <w:rFonts w:hint="eastAsia" w:eastAsia="仿宋_GB2312"/>
          <w:bCs/>
          <w:sz w:val="32"/>
          <w:szCs w:val="32"/>
          <w:lang w:val="en-US" w:eastAsia="zh-CN"/>
        </w:rPr>
        <w:t>3909.76</w:t>
      </w:r>
      <w:r>
        <w:rPr>
          <w:rFonts w:hint="eastAsia" w:eastAsia="仿宋_GB2312"/>
          <w:bCs/>
          <w:sz w:val="32"/>
          <w:szCs w:val="32"/>
        </w:rPr>
        <w:t>万元，占本年收入</w:t>
      </w:r>
      <w:r>
        <w:rPr>
          <w:rFonts w:hint="eastAsia" w:eastAsia="仿宋_GB2312"/>
          <w:bCs/>
          <w:sz w:val="32"/>
          <w:szCs w:val="32"/>
          <w:lang w:val="en-US" w:eastAsia="zh-CN"/>
        </w:rPr>
        <w:t>92.33%</w:t>
      </w:r>
      <w:r>
        <w:rPr>
          <w:rFonts w:hint="eastAsia" w:eastAsia="仿宋_GB2312"/>
          <w:bCs/>
          <w:sz w:val="32"/>
          <w:szCs w:val="32"/>
        </w:rPr>
        <w:t>；</w:t>
      </w:r>
      <w:r>
        <w:rPr>
          <w:rFonts w:hint="eastAsia" w:eastAsia="仿宋_GB2312"/>
          <w:bCs/>
          <w:sz w:val="32"/>
          <w:szCs w:val="32"/>
          <w:lang w:val="en-US" w:eastAsia="zh-CN"/>
        </w:rPr>
        <w:t>事业收入316.43万元，</w:t>
      </w:r>
      <w:r>
        <w:rPr>
          <w:rFonts w:hint="eastAsia" w:eastAsia="仿宋_GB2312"/>
          <w:bCs/>
          <w:sz w:val="32"/>
          <w:szCs w:val="32"/>
        </w:rPr>
        <w:t xml:space="preserve">占本年收入的 </w:t>
      </w:r>
      <w:r>
        <w:rPr>
          <w:rFonts w:hint="eastAsia" w:eastAsia="仿宋_GB2312"/>
          <w:bCs/>
          <w:sz w:val="32"/>
          <w:szCs w:val="32"/>
          <w:lang w:val="en-US" w:eastAsia="zh-CN"/>
        </w:rPr>
        <w:t>7.47</w:t>
      </w:r>
      <w:r>
        <w:rPr>
          <w:rFonts w:hint="eastAsia" w:eastAsia="仿宋_GB2312"/>
          <w:bCs/>
          <w:sz w:val="32"/>
          <w:szCs w:val="32"/>
        </w:rPr>
        <w:t>%</w:t>
      </w:r>
      <w:r>
        <w:rPr>
          <w:rFonts w:hint="eastAsia" w:eastAsia="仿宋_GB2312"/>
          <w:bCs/>
          <w:sz w:val="32"/>
          <w:szCs w:val="32"/>
          <w:lang w:eastAsia="zh-CN"/>
        </w:rPr>
        <w:t>；</w:t>
      </w:r>
      <w:r>
        <w:rPr>
          <w:rFonts w:hint="eastAsia" w:eastAsia="仿宋_GB2312"/>
          <w:bCs/>
          <w:sz w:val="32"/>
          <w:szCs w:val="32"/>
        </w:rPr>
        <w:t>其他收入</w:t>
      </w:r>
      <w:r>
        <w:rPr>
          <w:rFonts w:hint="eastAsia" w:eastAsia="仿宋_GB2312"/>
          <w:bCs/>
          <w:sz w:val="32"/>
          <w:szCs w:val="32"/>
          <w:lang w:val="en-US" w:eastAsia="zh-CN"/>
        </w:rPr>
        <w:t>8.27</w:t>
      </w:r>
      <w:r>
        <w:rPr>
          <w:rFonts w:hint="eastAsia" w:eastAsia="仿宋_GB2312"/>
          <w:bCs/>
          <w:sz w:val="32"/>
          <w:szCs w:val="32"/>
        </w:rPr>
        <w:t>万元，占本年收入的</w:t>
      </w:r>
      <w:r>
        <w:rPr>
          <w:rFonts w:hint="eastAsia" w:eastAsia="仿宋_GB2312"/>
          <w:bCs/>
          <w:sz w:val="32"/>
          <w:szCs w:val="32"/>
          <w:lang w:val="en-US" w:eastAsia="zh-CN"/>
        </w:rPr>
        <w:t>0.20</w:t>
      </w:r>
      <w:r>
        <w:rPr>
          <w:rFonts w:hint="eastAsia" w:eastAsia="仿宋_GB2312"/>
          <w:bCs/>
          <w:sz w:val="32"/>
          <w:szCs w:val="32"/>
        </w:rPr>
        <w:t>%。</w:t>
      </w:r>
    </w:p>
    <w:p>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lang w:eastAsia="zh-CN"/>
        </w:rPr>
        <w:drawing>
          <wp:anchor distT="0" distB="0" distL="114300" distR="114300" simplePos="0" relativeHeight="251659264" behindDoc="0" locked="0" layoutInCell="1" allowOverlap="1">
            <wp:simplePos x="0" y="0"/>
            <wp:positionH relativeFrom="column">
              <wp:posOffset>410845</wp:posOffset>
            </wp:positionH>
            <wp:positionV relativeFrom="paragraph">
              <wp:posOffset>4445</wp:posOffset>
            </wp:positionV>
            <wp:extent cx="5080000" cy="3810000"/>
            <wp:effectExtent l="4445" t="4445" r="20955" b="1460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jc w:val="center"/>
      </w:pPr>
      <w:r>
        <w:rPr>
          <w:rFonts w:eastAsia="仿宋_GB2312"/>
          <w:sz w:val="30"/>
          <w:szCs w:val="30"/>
        </w:rPr>
        <w:t>图2：收入决算结构</w:t>
      </w:r>
    </w:p>
    <w:p>
      <w:pPr>
        <w:adjustRightInd w:val="0"/>
        <w:snapToGrid w:val="0"/>
        <w:spacing w:before="156" w:beforeLines="50" w:line="560" w:lineRule="exact"/>
        <w:ind w:firstLine="640" w:firstLineChars="200"/>
        <w:rPr>
          <w:rFonts w:eastAsia="黑体"/>
          <w:bCs/>
          <w:sz w:val="32"/>
          <w:szCs w:val="32"/>
        </w:rPr>
      </w:pPr>
    </w:p>
    <w:p>
      <w:pPr>
        <w:adjustRightInd w:val="0"/>
        <w:snapToGrid w:val="0"/>
        <w:spacing w:before="156" w:beforeLines="50" w:line="560" w:lineRule="exact"/>
        <w:rPr>
          <w:rFonts w:hint="eastAsia" w:eastAsia="黑体"/>
          <w:bCs/>
          <w:sz w:val="32"/>
          <w:szCs w:val="32"/>
          <w:lang w:eastAsia="zh-CN"/>
        </w:rPr>
      </w:pPr>
    </w:p>
    <w:p>
      <w:pPr>
        <w:adjustRightInd w:val="0"/>
        <w:snapToGrid w:val="0"/>
        <w:spacing w:before="156" w:beforeLines="50" w:line="560" w:lineRule="exact"/>
        <w:ind w:firstLine="640" w:firstLineChars="200"/>
        <w:rPr>
          <w:rFonts w:eastAsia="黑体"/>
          <w:bCs/>
          <w:sz w:val="32"/>
          <w:szCs w:val="32"/>
          <w:highlight w:val="none"/>
        </w:rPr>
      </w:pPr>
      <w:r>
        <w:rPr>
          <w:rFonts w:eastAsia="黑体"/>
          <w:bCs/>
          <w:sz w:val="32"/>
          <w:szCs w:val="32"/>
        </w:rPr>
        <w:t>三、支</w:t>
      </w:r>
      <w:r>
        <w:rPr>
          <w:rFonts w:eastAsia="黑体"/>
          <w:bCs/>
          <w:sz w:val="32"/>
          <w:szCs w:val="32"/>
          <w:highlight w:val="none"/>
        </w:rPr>
        <w:t>出决算情况说明</w:t>
      </w:r>
    </w:p>
    <w:p>
      <w:pPr>
        <w:snapToGrid w:val="0"/>
        <w:spacing w:line="520" w:lineRule="exact"/>
        <w:ind w:firstLine="640" w:firstLineChars="200"/>
        <w:rPr>
          <w:rFonts w:hint="eastAsia" w:ascii="仿宋_GB2312" w:hAnsi="仿宋" w:eastAsia="仿宋_GB2312"/>
          <w:color w:val="0000FF"/>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年度支出合计</w:t>
      </w:r>
      <w:r>
        <w:rPr>
          <w:rFonts w:hint="eastAsia" w:eastAsia="仿宋_GB2312"/>
          <w:bCs/>
          <w:sz w:val="32"/>
          <w:szCs w:val="32"/>
          <w:lang w:val="en-US" w:eastAsia="zh-CN"/>
        </w:rPr>
        <w:t>4147.17，4667.93</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年度相比，支出合计</w:t>
      </w:r>
      <w:r>
        <w:rPr>
          <w:rFonts w:hint="eastAsia" w:eastAsia="仿宋_GB2312"/>
          <w:bCs/>
          <w:sz w:val="32"/>
          <w:szCs w:val="32"/>
          <w:lang w:val="en-US" w:eastAsia="zh-CN"/>
        </w:rPr>
        <w:t>减少520.76</w:t>
      </w:r>
      <w:r>
        <w:rPr>
          <w:rFonts w:hint="eastAsia" w:eastAsia="仿宋_GB2312"/>
          <w:bCs/>
          <w:sz w:val="32"/>
          <w:szCs w:val="32"/>
        </w:rPr>
        <w:t>万元，</w:t>
      </w:r>
      <w:r>
        <w:rPr>
          <w:rFonts w:hint="eastAsia" w:eastAsia="仿宋_GB2312"/>
          <w:bCs/>
          <w:sz w:val="32"/>
          <w:szCs w:val="32"/>
          <w:lang w:val="en-US" w:eastAsia="zh-CN"/>
        </w:rPr>
        <w:t>减少11.16</w:t>
      </w:r>
      <w:r>
        <w:rPr>
          <w:rFonts w:hint="eastAsia" w:eastAsia="仿宋_GB2312"/>
          <w:bCs/>
          <w:sz w:val="32"/>
          <w:szCs w:val="32"/>
        </w:rPr>
        <w:t>%，主要原因是</w:t>
      </w:r>
      <w:r>
        <w:rPr>
          <w:rFonts w:hint="eastAsia" w:eastAsia="仿宋_GB2312"/>
          <w:bCs/>
          <w:sz w:val="32"/>
          <w:szCs w:val="32"/>
          <w:lang w:val="en-US" w:eastAsia="zh-CN"/>
        </w:rPr>
        <w:t>落实“过紧日子”要求，</w:t>
      </w:r>
      <w:r>
        <w:rPr>
          <w:rFonts w:hint="eastAsia" w:eastAsia="仿宋_GB2312"/>
          <w:bCs/>
          <w:sz w:val="32"/>
          <w:szCs w:val="32"/>
        </w:rPr>
        <w:t>把牢预算管理、资产配置、政府采购等关口</w:t>
      </w:r>
      <w:r>
        <w:rPr>
          <w:rFonts w:hint="eastAsia" w:eastAsia="仿宋_GB2312"/>
          <w:bCs/>
          <w:sz w:val="32"/>
          <w:szCs w:val="32"/>
          <w:lang w:eastAsia="zh-CN"/>
        </w:rPr>
        <w:t>，</w:t>
      </w:r>
      <w:r>
        <w:rPr>
          <w:rFonts w:hint="eastAsia" w:eastAsia="仿宋_GB2312"/>
          <w:bCs/>
          <w:sz w:val="32"/>
          <w:szCs w:val="32"/>
        </w:rPr>
        <w:t>严控制一般性支出，加强“三公”经费管理，</w:t>
      </w:r>
      <w:r>
        <w:rPr>
          <w:rFonts w:hint="eastAsia" w:eastAsia="仿宋_GB2312"/>
          <w:bCs/>
          <w:sz w:val="32"/>
          <w:szCs w:val="32"/>
          <w:lang w:val="en-US" w:eastAsia="zh-CN"/>
        </w:rPr>
        <w:t>坚持勤俭办一切事业</w:t>
      </w:r>
      <w:r>
        <w:rPr>
          <w:rFonts w:hint="eastAsia" w:eastAsia="仿宋_GB2312"/>
          <w:bCs/>
          <w:sz w:val="32"/>
          <w:szCs w:val="32"/>
        </w:rPr>
        <w:t>。</w:t>
      </w:r>
    </w:p>
    <w:p>
      <w:pPr>
        <w:snapToGrid w:val="0"/>
        <w:spacing w:line="520" w:lineRule="exact"/>
        <w:ind w:firstLine="640" w:firstLineChars="200"/>
        <w:rPr>
          <w:rFonts w:hint="eastAsia" w:ascii="仿宋_GB2312" w:hAnsi="仿宋" w:eastAsia="仿宋_GB2312"/>
          <w:sz w:val="32"/>
          <w:szCs w:val="32"/>
        </w:rPr>
      </w:pPr>
      <w:r>
        <w:rPr>
          <w:rFonts w:hint="eastAsia" w:eastAsia="仿宋_GB2312"/>
          <w:bCs/>
          <w:sz w:val="32"/>
          <w:szCs w:val="32"/>
        </w:rPr>
        <w:t>其中：基本支出</w:t>
      </w:r>
      <w:r>
        <w:rPr>
          <w:rFonts w:hint="eastAsia" w:eastAsia="仿宋_GB2312"/>
          <w:bCs/>
          <w:sz w:val="32"/>
          <w:szCs w:val="32"/>
          <w:lang w:val="en-US" w:eastAsia="zh-CN"/>
        </w:rPr>
        <w:t>3519.26</w:t>
      </w:r>
      <w:r>
        <w:rPr>
          <w:rFonts w:hint="eastAsia" w:eastAsia="仿宋_GB2312"/>
          <w:bCs/>
          <w:sz w:val="32"/>
          <w:szCs w:val="32"/>
        </w:rPr>
        <w:t>万元，占本年支出的</w:t>
      </w:r>
      <w:r>
        <w:rPr>
          <w:rFonts w:hint="eastAsia" w:eastAsia="仿宋_GB2312"/>
          <w:bCs/>
          <w:sz w:val="32"/>
          <w:szCs w:val="32"/>
          <w:lang w:val="en-US" w:eastAsia="zh-CN"/>
        </w:rPr>
        <w:t>84.86</w:t>
      </w:r>
      <w:r>
        <w:rPr>
          <w:rFonts w:hint="eastAsia" w:eastAsia="仿宋_GB2312"/>
          <w:bCs/>
          <w:sz w:val="32"/>
          <w:szCs w:val="32"/>
        </w:rPr>
        <w:t>%；项目支出</w:t>
      </w:r>
      <w:r>
        <w:rPr>
          <w:rFonts w:hint="eastAsia" w:eastAsia="仿宋_GB2312"/>
          <w:bCs/>
          <w:sz w:val="32"/>
          <w:szCs w:val="32"/>
          <w:lang w:val="en-US" w:eastAsia="zh-CN"/>
        </w:rPr>
        <w:t>627.91</w:t>
      </w:r>
      <w:r>
        <w:rPr>
          <w:rFonts w:hint="eastAsia" w:eastAsia="仿宋_GB2312"/>
          <w:bCs/>
          <w:sz w:val="32"/>
          <w:szCs w:val="32"/>
        </w:rPr>
        <w:t>万元，占本年支出的</w:t>
      </w:r>
      <w:r>
        <w:rPr>
          <w:rFonts w:hint="eastAsia" w:eastAsia="仿宋_GB2312"/>
          <w:bCs/>
          <w:sz w:val="32"/>
          <w:szCs w:val="32"/>
          <w:lang w:val="en-US" w:eastAsia="zh-CN"/>
        </w:rPr>
        <w:t>15.14</w:t>
      </w:r>
      <w:r>
        <w:rPr>
          <w:rFonts w:hint="eastAsia" w:eastAsia="仿宋_GB2312"/>
          <w:bCs/>
          <w:sz w:val="32"/>
          <w:szCs w:val="32"/>
        </w:rPr>
        <w:t>%。</w:t>
      </w:r>
    </w:p>
    <w:p>
      <w:pPr>
        <w:spacing w:after="156" w:afterLines="50" w:line="560" w:lineRule="exact"/>
        <w:rPr>
          <w:rFonts w:eastAsia="仿宋_GB2312"/>
          <w:bCs/>
          <w:sz w:val="32"/>
          <w:szCs w:val="32"/>
        </w:rPr>
      </w:pPr>
    </w:p>
    <w:p>
      <w:pPr>
        <w:spacing w:after="156" w:afterLines="50" w:line="560" w:lineRule="exact"/>
        <w:rPr>
          <w:rFonts w:eastAsia="仿宋_GB2312"/>
          <w:bCs/>
          <w:sz w:val="32"/>
          <w:szCs w:val="32"/>
        </w:rPr>
      </w:pPr>
      <w:r>
        <w:rPr>
          <w:rFonts w:hint="eastAsia" w:eastAsia="仿宋_GB2312"/>
          <w:bCs/>
          <w:sz w:val="32"/>
          <w:szCs w:val="32"/>
          <w:lang w:eastAsia="zh-CN"/>
        </w:rPr>
        <w:drawing>
          <wp:anchor distT="0" distB="0" distL="114300" distR="114300" simplePos="0" relativeHeight="251661312" behindDoc="0" locked="0" layoutInCell="1" allowOverlap="1">
            <wp:simplePos x="0" y="0"/>
            <wp:positionH relativeFrom="column">
              <wp:posOffset>13970</wp:posOffset>
            </wp:positionH>
            <wp:positionV relativeFrom="paragraph">
              <wp:posOffset>26670</wp:posOffset>
            </wp:positionV>
            <wp:extent cx="5383530" cy="3875405"/>
            <wp:effectExtent l="4445" t="4445" r="22225" b="635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ind w:firstLine="2700" w:firstLineChars="900"/>
        <w:jc w:val="left"/>
        <w:rPr>
          <w:rFonts w:eastAsia="仿宋_GB2312"/>
          <w:sz w:val="30"/>
          <w:szCs w:val="30"/>
        </w:rPr>
      </w:pPr>
      <w:r>
        <w:rPr>
          <w:rFonts w:eastAsia="仿宋_GB2312"/>
          <w:sz w:val="30"/>
          <w:szCs w:val="30"/>
        </w:rPr>
        <w:t>图3：支出决算结构</w:t>
      </w:r>
    </w:p>
    <w:p>
      <w:pPr>
        <w:ind w:firstLine="312" w:firstLineChars="104"/>
        <w:jc w:val="center"/>
        <w:rPr>
          <w:rFonts w:eastAsia="仿宋_GB2312"/>
          <w:sz w:val="30"/>
          <w:szCs w:val="30"/>
        </w:rPr>
      </w:pPr>
    </w:p>
    <w:p>
      <w:pPr>
        <w:ind w:firstLine="312" w:firstLineChars="104"/>
        <w:jc w:val="center"/>
        <w:rPr>
          <w:rFonts w:eastAsia="仿宋_GB2312"/>
          <w:sz w:val="30"/>
          <w:szCs w:val="30"/>
        </w:rPr>
      </w:pPr>
    </w:p>
    <w:p>
      <w:pPr>
        <w:ind w:firstLine="312" w:firstLineChars="104"/>
        <w:jc w:val="center"/>
        <w:rPr>
          <w:rFonts w:eastAsia="仿宋_GB2312"/>
          <w:sz w:val="30"/>
          <w:szCs w:val="30"/>
        </w:rPr>
      </w:pPr>
    </w:p>
    <w:p>
      <w:pPr>
        <w:pStyle w:val="2"/>
      </w:pPr>
    </w:p>
    <w:p>
      <w:pPr>
        <w:adjustRightInd w:val="0"/>
        <w:snapToGrid w:val="0"/>
        <w:spacing w:line="560" w:lineRule="exact"/>
        <w:ind w:firstLine="640" w:firstLineChars="200"/>
        <w:rPr>
          <w:rFonts w:eastAsia="黑体"/>
          <w:bCs/>
          <w:sz w:val="32"/>
          <w:szCs w:val="32"/>
        </w:rPr>
      </w:pPr>
      <w:r>
        <w:rPr>
          <w:rFonts w:eastAsia="黑体"/>
          <w:bCs/>
          <w:sz w:val="32"/>
          <w:szCs w:val="32"/>
        </w:rPr>
        <w:t>四、财政拨款收入支出决算总体情况说明</w:t>
      </w:r>
    </w:p>
    <w:p>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年度财政拨款收、支总计均为</w:t>
      </w:r>
      <w:r>
        <w:rPr>
          <w:rFonts w:hint="eastAsia" w:eastAsia="仿宋_GB2312"/>
          <w:bCs/>
          <w:sz w:val="32"/>
          <w:szCs w:val="32"/>
          <w:lang w:val="en-US" w:eastAsia="zh-CN"/>
        </w:rPr>
        <w:t>3909.76</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年度相比，财政拨款收、支总计各</w:t>
      </w:r>
      <w:r>
        <w:rPr>
          <w:rFonts w:hint="eastAsia" w:eastAsia="仿宋_GB2312"/>
          <w:bCs/>
          <w:sz w:val="32"/>
          <w:szCs w:val="32"/>
          <w:lang w:val="en-US" w:eastAsia="zh-CN"/>
        </w:rPr>
        <w:t>减少531.05</w:t>
      </w:r>
      <w:r>
        <w:rPr>
          <w:rFonts w:hint="eastAsia" w:eastAsia="仿宋_GB2312"/>
          <w:bCs/>
          <w:sz w:val="32"/>
          <w:szCs w:val="32"/>
        </w:rPr>
        <w:t>万元，</w:t>
      </w:r>
      <w:r>
        <w:rPr>
          <w:rFonts w:hint="eastAsia" w:eastAsia="仿宋_GB2312"/>
          <w:bCs/>
          <w:sz w:val="32"/>
          <w:szCs w:val="32"/>
          <w:lang w:val="en-US" w:eastAsia="zh-CN"/>
        </w:rPr>
        <w:t>减少11.96</w:t>
      </w:r>
      <w:r>
        <w:rPr>
          <w:rFonts w:hint="eastAsia" w:eastAsia="仿宋_GB2312"/>
          <w:bCs/>
          <w:sz w:val="32"/>
          <w:szCs w:val="32"/>
        </w:rPr>
        <w:t>%。主要原因是国有资产收益安排支出</w:t>
      </w:r>
      <w:r>
        <w:rPr>
          <w:rFonts w:hint="eastAsia" w:eastAsia="仿宋_GB2312"/>
          <w:bCs/>
          <w:sz w:val="32"/>
          <w:szCs w:val="32"/>
          <w:lang w:val="en-US" w:eastAsia="zh-CN"/>
        </w:rPr>
        <w:t>减少</w:t>
      </w: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年度财政拨款收入中，一般公共预算财政拨款收入</w:t>
      </w:r>
      <w:r>
        <w:rPr>
          <w:rFonts w:hint="eastAsia" w:eastAsia="仿宋_GB2312"/>
          <w:bCs/>
          <w:sz w:val="32"/>
          <w:szCs w:val="32"/>
          <w:lang w:val="en-US" w:eastAsia="zh-CN"/>
        </w:rPr>
        <w:t>3909.76</w:t>
      </w:r>
      <w:r>
        <w:rPr>
          <w:rFonts w:hint="eastAsia" w:eastAsia="仿宋_GB2312"/>
          <w:bCs/>
          <w:sz w:val="32"/>
          <w:szCs w:val="32"/>
        </w:rPr>
        <w:t>万元，比202</w:t>
      </w:r>
      <w:r>
        <w:rPr>
          <w:rFonts w:hint="eastAsia" w:eastAsia="仿宋_GB2312"/>
          <w:bCs/>
          <w:sz w:val="32"/>
          <w:szCs w:val="32"/>
          <w:lang w:val="en-US" w:eastAsia="zh-CN"/>
        </w:rPr>
        <w:t>2</w:t>
      </w:r>
      <w:r>
        <w:rPr>
          <w:rFonts w:hint="eastAsia" w:eastAsia="仿宋_GB2312"/>
          <w:bCs/>
          <w:sz w:val="32"/>
          <w:szCs w:val="32"/>
        </w:rPr>
        <w:t>年度决算数</w:t>
      </w:r>
      <w:r>
        <w:rPr>
          <w:rFonts w:hint="eastAsia" w:eastAsia="仿宋_GB2312"/>
          <w:bCs/>
          <w:sz w:val="32"/>
          <w:szCs w:val="32"/>
          <w:lang w:val="en-US" w:eastAsia="zh-CN"/>
        </w:rPr>
        <w:t>减少531.05</w:t>
      </w:r>
      <w:r>
        <w:rPr>
          <w:rFonts w:hint="eastAsia" w:eastAsia="仿宋_GB2312"/>
          <w:bCs/>
          <w:sz w:val="32"/>
          <w:szCs w:val="32"/>
        </w:rPr>
        <w:t>万元。政府性基金预算财政拨款收入0万元。国有资本经营预算财政拨款收入0万元。</w:t>
      </w:r>
    </w:p>
    <w:p>
      <w:pPr>
        <w:adjustRightInd w:val="0"/>
        <w:snapToGrid w:val="0"/>
        <w:spacing w:line="560" w:lineRule="atLeast"/>
        <w:rPr>
          <w:rFonts w:hint="eastAsia" w:eastAsia="仿宋_GB2312"/>
          <w:bCs/>
          <w:sz w:val="32"/>
          <w:szCs w:val="32"/>
        </w:rPr>
      </w:pPr>
    </w:p>
    <w:p>
      <w:pPr>
        <w:adjustRightInd w:val="0"/>
        <w:snapToGrid w:val="0"/>
        <w:spacing w:line="560" w:lineRule="atLeast"/>
        <w:ind w:firstLine="640" w:firstLineChars="200"/>
        <w:rPr>
          <w:rFonts w:hint="eastAsia" w:eastAsia="仿宋_GB2312"/>
          <w:bCs/>
          <w:sz w:val="32"/>
          <w:szCs w:val="32"/>
          <w:lang w:eastAsia="zh-CN"/>
        </w:rPr>
      </w:pPr>
      <w:r>
        <w:rPr>
          <w:rFonts w:hint="eastAsia" w:eastAsia="仿宋_GB2312"/>
          <w:bCs/>
          <w:sz w:val="32"/>
          <w:szCs w:val="32"/>
          <w:lang w:eastAsia="zh-CN"/>
        </w:rPr>
        <w:drawing>
          <wp:inline distT="0" distB="0" distL="114300" distR="114300">
            <wp:extent cx="5080000" cy="3810000"/>
            <wp:effectExtent l="4445" t="4445" r="20955" b="14605"/>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adjustRightInd w:val="0"/>
        <w:snapToGrid w:val="0"/>
        <w:spacing w:line="560" w:lineRule="atLeast"/>
        <w:rPr>
          <w:rFonts w:hint="eastAsia" w:eastAsia="仿宋_GB2312"/>
          <w:bCs/>
          <w:sz w:val="32"/>
          <w:szCs w:val="32"/>
        </w:rPr>
      </w:pPr>
    </w:p>
    <w:p>
      <w:pPr>
        <w:jc w:val="center"/>
        <w:rPr>
          <w:rFonts w:eastAsia="仿宋_GB2312"/>
          <w:sz w:val="30"/>
          <w:szCs w:val="30"/>
        </w:rPr>
      </w:pPr>
      <w:r>
        <w:rPr>
          <w:rFonts w:eastAsia="仿宋_GB2312"/>
          <w:sz w:val="30"/>
          <w:szCs w:val="30"/>
        </w:rPr>
        <w:t>图4：财政拨款收、支决算总计变动情况</w:t>
      </w:r>
    </w:p>
    <w:p>
      <w:pPr>
        <w:jc w:val="center"/>
        <w:rPr>
          <w:rFonts w:eastAsia="仿宋_GB2312"/>
          <w:sz w:val="30"/>
          <w:szCs w:val="30"/>
        </w:rPr>
      </w:pPr>
    </w:p>
    <w:p>
      <w:pPr>
        <w:jc w:val="center"/>
        <w:rPr>
          <w:rFonts w:eastAsia="仿宋_GB2312"/>
          <w:sz w:val="30"/>
          <w:szCs w:val="30"/>
        </w:rPr>
      </w:pPr>
    </w:p>
    <w:p>
      <w:pPr>
        <w:adjustRightInd w:val="0"/>
        <w:snapToGrid w:val="0"/>
        <w:spacing w:line="560" w:lineRule="exact"/>
        <w:rPr>
          <w:rFonts w:eastAsia="黑体"/>
          <w:bCs/>
          <w:sz w:val="32"/>
          <w:szCs w:val="32"/>
        </w:rPr>
      </w:pPr>
    </w:p>
    <w:p>
      <w:pPr>
        <w:adjustRightInd w:val="0"/>
        <w:snapToGrid w:val="0"/>
        <w:spacing w:line="560" w:lineRule="exact"/>
        <w:ind w:firstLine="640" w:firstLineChars="200"/>
        <w:rPr>
          <w:rFonts w:eastAsia="黑体"/>
          <w:bCs/>
          <w:sz w:val="32"/>
          <w:szCs w:val="32"/>
        </w:rPr>
      </w:pPr>
      <w:r>
        <w:rPr>
          <w:rFonts w:eastAsia="黑体"/>
          <w:bCs/>
          <w:sz w:val="32"/>
          <w:szCs w:val="32"/>
        </w:rPr>
        <w:t>五、一般公共预算财政拨款支出决算情况说明</w:t>
      </w:r>
    </w:p>
    <w:p>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（一）一般公共预算财政拨款支出决算总体情况。</w:t>
      </w:r>
    </w:p>
    <w:p>
      <w:pPr>
        <w:adjustRightInd w:val="0"/>
        <w:snapToGrid w:val="0"/>
        <w:spacing w:line="560" w:lineRule="atLeas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年度一般公共预算财政拨款支出</w:t>
      </w:r>
      <w:r>
        <w:rPr>
          <w:rFonts w:hint="eastAsia" w:ascii="仿宋_GB2312" w:hAnsi="仿宋_GB2312" w:eastAsia="仿宋_GB2312" w:cs="仿宋_GB2312"/>
          <w:bCs/>
          <w:sz w:val="32"/>
          <w:szCs w:val="32"/>
          <w:lang w:val="en-US" w:eastAsia="zh-CN"/>
        </w:rPr>
        <w:t>3909.76</w:t>
      </w:r>
      <w:r>
        <w:rPr>
          <w:rFonts w:hint="eastAsia" w:ascii="仿宋_GB2312" w:hAnsi="仿宋_GB2312" w:eastAsia="仿宋_GB2312" w:cs="仿宋_GB2312"/>
          <w:bCs/>
          <w:sz w:val="32"/>
          <w:szCs w:val="32"/>
        </w:rPr>
        <w:t>万元，占本年支出合计的</w:t>
      </w:r>
      <w:r>
        <w:rPr>
          <w:rFonts w:hint="eastAsia" w:ascii="仿宋_GB2312" w:hAnsi="仿宋_GB2312" w:eastAsia="仿宋_GB2312" w:cs="仿宋_GB2312"/>
          <w:bCs/>
          <w:sz w:val="32"/>
          <w:szCs w:val="32"/>
          <w:lang w:val="en-US" w:eastAsia="zh-CN"/>
        </w:rPr>
        <w:t>92.33</w:t>
      </w:r>
      <w:r>
        <w:rPr>
          <w:rFonts w:hint="eastAsia" w:ascii="仿宋_GB2312" w:hAnsi="仿宋_GB2312" w:eastAsia="仿宋_GB2312" w:cs="仿宋_GB2312"/>
          <w:bCs/>
          <w:sz w:val="32"/>
          <w:szCs w:val="32"/>
        </w:rPr>
        <w:t>%。与202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年度相比，一般公共预算财政拨款支出</w:t>
      </w:r>
      <w:r>
        <w:rPr>
          <w:rFonts w:hint="eastAsia" w:ascii="仿宋_GB2312" w:hAnsi="仿宋_GB2312" w:eastAsia="仿宋_GB2312" w:cs="仿宋_GB2312"/>
          <w:bCs/>
          <w:sz w:val="32"/>
          <w:szCs w:val="32"/>
          <w:lang w:val="en-US" w:eastAsia="zh-CN"/>
        </w:rPr>
        <w:t>减少531.05</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减少11.96</w:t>
      </w:r>
      <w:r>
        <w:rPr>
          <w:rFonts w:hint="eastAsia" w:ascii="仿宋_GB2312" w:hAnsi="仿宋_GB2312" w:eastAsia="仿宋_GB2312" w:cs="仿宋_GB2312"/>
          <w:bCs/>
          <w:sz w:val="32"/>
          <w:szCs w:val="32"/>
        </w:rPr>
        <w:t>%。主要原因一是国有资产收益安排支出</w:t>
      </w:r>
      <w:r>
        <w:rPr>
          <w:rFonts w:hint="eastAsia" w:ascii="仿宋_GB2312" w:hAnsi="仿宋_GB2312" w:eastAsia="仿宋_GB2312" w:cs="仿宋_GB2312"/>
          <w:bCs/>
          <w:sz w:val="32"/>
          <w:szCs w:val="32"/>
          <w:lang w:val="en-US" w:eastAsia="zh-CN"/>
        </w:rPr>
        <w:t>减少</w:t>
      </w:r>
      <w:r>
        <w:rPr>
          <w:rFonts w:hint="eastAsia" w:ascii="仿宋_GB2312" w:hAnsi="仿宋_GB2312" w:eastAsia="仿宋_GB2312" w:cs="仿宋_GB2312"/>
          <w:bCs/>
          <w:sz w:val="32"/>
          <w:szCs w:val="32"/>
        </w:rPr>
        <w:t>。</w:t>
      </w:r>
    </w:p>
    <w:p>
      <w:pPr>
        <w:adjustRightInd w:val="0"/>
        <w:snapToGrid w:val="0"/>
        <w:spacing w:line="560" w:lineRule="exact"/>
        <w:ind w:firstLine="640" w:firstLineChars="200"/>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（二）一般公共预算财政拨款支出决算结构情况。</w:t>
      </w:r>
    </w:p>
    <w:p>
      <w:pPr>
        <w:adjustRightInd w:val="0"/>
        <w:snapToGrid w:val="0"/>
        <w:spacing w:line="560" w:lineRule="exact"/>
        <w:ind w:firstLine="640" w:firstLineChars="200"/>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202</w:t>
      </w:r>
      <w:r>
        <w:rPr>
          <w:rFonts w:hint="eastAsia" w:ascii="仿宋_GB2312" w:hAnsi="仿宋_GB2312" w:eastAsia="仿宋_GB2312" w:cs="仿宋_GB2312"/>
          <w:bCs/>
          <w:kern w:val="44"/>
          <w:sz w:val="32"/>
          <w:szCs w:val="32"/>
          <w:lang w:val="en-US" w:eastAsia="zh-CN"/>
        </w:rPr>
        <w:t>3</w:t>
      </w:r>
      <w:r>
        <w:rPr>
          <w:rFonts w:hint="eastAsia" w:ascii="仿宋_GB2312" w:hAnsi="仿宋_GB2312" w:eastAsia="仿宋_GB2312" w:cs="仿宋_GB2312"/>
          <w:bCs/>
          <w:kern w:val="44"/>
          <w:sz w:val="32"/>
          <w:szCs w:val="32"/>
        </w:rPr>
        <w:t>年度一般公共预算财政拨款支出</w:t>
      </w:r>
      <w:r>
        <w:rPr>
          <w:rFonts w:hint="eastAsia" w:ascii="仿宋_GB2312" w:hAnsi="仿宋_GB2312" w:eastAsia="仿宋_GB2312" w:cs="仿宋_GB2312"/>
          <w:bCs/>
          <w:sz w:val="32"/>
          <w:szCs w:val="32"/>
          <w:lang w:val="en-US" w:eastAsia="zh-CN"/>
        </w:rPr>
        <w:t>3909.76</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kern w:val="44"/>
          <w:sz w:val="32"/>
          <w:szCs w:val="32"/>
        </w:rPr>
        <w:t>，主要用于以下方面：</w:t>
      </w:r>
    </w:p>
    <w:p>
      <w:pPr>
        <w:numPr>
          <w:ilvl w:val="0"/>
          <w:numId w:val="2"/>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科学技术支出</w:t>
      </w:r>
      <w:r>
        <w:rPr>
          <w:rFonts w:hint="eastAsia" w:eastAsia="仿宋_GB2312"/>
          <w:bCs/>
          <w:kern w:val="44"/>
          <w:sz w:val="32"/>
          <w:szCs w:val="32"/>
          <w:lang w:val="en-US" w:eastAsia="zh-CN"/>
        </w:rPr>
        <w:t>2462.64</w:t>
      </w:r>
      <w:r>
        <w:rPr>
          <w:rFonts w:eastAsia="仿宋_GB2312"/>
          <w:bCs/>
          <w:kern w:val="44"/>
          <w:sz w:val="32"/>
          <w:szCs w:val="32"/>
        </w:rPr>
        <w:t>万元，占</w:t>
      </w:r>
      <w:r>
        <w:rPr>
          <w:rFonts w:hint="eastAsia" w:eastAsia="仿宋_GB2312"/>
          <w:bCs/>
          <w:kern w:val="44"/>
          <w:sz w:val="32"/>
          <w:szCs w:val="32"/>
          <w:lang w:val="en-US" w:eastAsia="zh-CN"/>
        </w:rPr>
        <w:t>62.99</w:t>
      </w:r>
      <w:r>
        <w:rPr>
          <w:rFonts w:eastAsia="仿宋_GB2312"/>
          <w:bCs/>
          <w:kern w:val="44"/>
          <w:sz w:val="32"/>
          <w:szCs w:val="32"/>
        </w:rPr>
        <w:t>%。主要是用于开展农业科学的应用研究和应用基础研究，新模式新技术推广应用，技术服务及成果转化等。</w:t>
      </w:r>
    </w:p>
    <w:p>
      <w:pPr>
        <w:numPr>
          <w:ilvl w:val="0"/>
          <w:numId w:val="2"/>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社会保障和就业支出</w:t>
      </w:r>
      <w:r>
        <w:rPr>
          <w:rFonts w:hint="eastAsia" w:eastAsia="仿宋_GB2312"/>
          <w:bCs/>
          <w:kern w:val="44"/>
          <w:sz w:val="32"/>
          <w:szCs w:val="32"/>
          <w:lang w:val="en-US" w:eastAsia="zh-CN"/>
        </w:rPr>
        <w:t>1237.97</w:t>
      </w:r>
      <w:r>
        <w:rPr>
          <w:rFonts w:eastAsia="仿宋_GB2312"/>
          <w:bCs/>
          <w:kern w:val="44"/>
          <w:sz w:val="32"/>
          <w:szCs w:val="32"/>
        </w:rPr>
        <w:t>万元，占</w:t>
      </w:r>
      <w:r>
        <w:rPr>
          <w:rFonts w:hint="eastAsia" w:eastAsia="仿宋_GB2312"/>
          <w:bCs/>
          <w:kern w:val="44"/>
          <w:sz w:val="32"/>
          <w:szCs w:val="32"/>
          <w:lang w:val="en-US" w:eastAsia="zh-CN"/>
        </w:rPr>
        <w:t>31.66</w:t>
      </w:r>
      <w:r>
        <w:rPr>
          <w:rFonts w:eastAsia="仿宋_GB2312"/>
          <w:bCs/>
          <w:kern w:val="44"/>
          <w:sz w:val="32"/>
          <w:szCs w:val="32"/>
        </w:rPr>
        <w:t>%。主要是用于人员医疗保障，公积金、养老保险、职业年金等等。</w:t>
      </w:r>
    </w:p>
    <w:p>
      <w:pPr>
        <w:numPr>
          <w:ilvl w:val="0"/>
          <w:numId w:val="2"/>
        </w:numPr>
        <w:adjustRightInd w:val="0"/>
        <w:snapToGrid w:val="0"/>
        <w:spacing w:line="560" w:lineRule="exact"/>
        <w:ind w:firstLine="640" w:firstLineChars="200"/>
        <w:rPr>
          <w:rFonts w:hint="eastAsia" w:eastAsia="仿宋_GB2312"/>
          <w:bCs/>
          <w:kern w:val="44"/>
          <w:sz w:val="32"/>
          <w:szCs w:val="32"/>
          <w:lang w:val="en-US" w:eastAsia="zh-CN"/>
        </w:rPr>
      </w:pPr>
      <w:r>
        <w:rPr>
          <w:rFonts w:eastAsia="仿宋_GB2312"/>
          <w:bCs/>
          <w:kern w:val="44"/>
          <w:sz w:val="32"/>
          <w:szCs w:val="32"/>
        </w:rPr>
        <w:t>卫生健康支出</w:t>
      </w:r>
      <w:r>
        <w:rPr>
          <w:rFonts w:hint="eastAsia" w:eastAsia="仿宋_GB2312"/>
          <w:bCs/>
          <w:kern w:val="44"/>
          <w:sz w:val="32"/>
          <w:szCs w:val="32"/>
          <w:lang w:val="en-US" w:eastAsia="zh-CN"/>
        </w:rPr>
        <w:t>6.88</w:t>
      </w:r>
      <w:r>
        <w:rPr>
          <w:rFonts w:eastAsia="仿宋_GB2312"/>
          <w:bCs/>
          <w:kern w:val="44"/>
          <w:sz w:val="32"/>
          <w:szCs w:val="32"/>
        </w:rPr>
        <w:t>万元，占</w:t>
      </w:r>
      <w:r>
        <w:rPr>
          <w:rFonts w:hint="eastAsia" w:eastAsia="仿宋_GB2312"/>
          <w:bCs/>
          <w:kern w:val="44"/>
          <w:sz w:val="32"/>
          <w:szCs w:val="32"/>
          <w:lang w:val="en-US" w:eastAsia="zh-CN"/>
        </w:rPr>
        <w:t>0.18</w:t>
      </w:r>
      <w:r>
        <w:rPr>
          <w:rFonts w:eastAsia="仿宋_GB2312"/>
          <w:bCs/>
          <w:kern w:val="44"/>
          <w:sz w:val="32"/>
          <w:szCs w:val="32"/>
        </w:rPr>
        <w:t>%</w:t>
      </w:r>
      <w:r>
        <w:rPr>
          <w:rFonts w:hint="eastAsia" w:eastAsia="仿宋_GB2312"/>
          <w:bCs/>
          <w:kern w:val="44"/>
          <w:sz w:val="32"/>
          <w:szCs w:val="32"/>
          <w:lang w:eastAsia="zh-CN"/>
        </w:rPr>
        <w:t>，</w:t>
      </w:r>
      <w:r>
        <w:rPr>
          <w:rFonts w:eastAsia="仿宋_GB2312"/>
          <w:bCs/>
          <w:kern w:val="44"/>
          <w:sz w:val="32"/>
          <w:szCs w:val="32"/>
        </w:rPr>
        <w:t>主要是用于事业单位人员医疗。</w:t>
      </w:r>
    </w:p>
    <w:p>
      <w:pPr>
        <w:numPr>
          <w:ilvl w:val="0"/>
          <w:numId w:val="2"/>
        </w:numPr>
        <w:adjustRightInd w:val="0"/>
        <w:snapToGrid w:val="0"/>
        <w:spacing w:line="560" w:lineRule="exact"/>
        <w:ind w:firstLine="640" w:firstLineChars="200"/>
        <w:rPr>
          <w:rFonts w:hint="eastAsia"/>
          <w:lang w:val="en-US" w:eastAsia="zh-CN"/>
        </w:rPr>
      </w:pPr>
      <w:r>
        <w:rPr>
          <w:rFonts w:hint="eastAsia" w:eastAsia="仿宋_GB2312"/>
          <w:bCs/>
          <w:kern w:val="44"/>
          <w:sz w:val="32"/>
          <w:szCs w:val="32"/>
          <w:lang w:val="en-US" w:eastAsia="zh-CN"/>
        </w:rPr>
        <w:t>住房保障支出202.27万元，占5.17%，</w:t>
      </w:r>
      <w:r>
        <w:rPr>
          <w:rFonts w:eastAsia="仿宋_GB2312"/>
          <w:bCs/>
          <w:kern w:val="44"/>
          <w:sz w:val="32"/>
          <w:szCs w:val="32"/>
        </w:rPr>
        <w:t>主要是用于职工公积金支出。</w:t>
      </w:r>
    </w:p>
    <w:p>
      <w:pPr>
        <w:adjustRightInd w:val="0"/>
        <w:snapToGrid w:val="0"/>
        <w:spacing w:line="560" w:lineRule="exact"/>
        <w:ind w:firstLine="640" w:firstLineChars="200"/>
        <w:rPr>
          <w:rFonts w:eastAsia="楷体_GB2312"/>
          <w:bCs/>
          <w:kern w:val="44"/>
          <w:sz w:val="32"/>
          <w:szCs w:val="32"/>
          <w:highlight w:val="none"/>
        </w:rPr>
      </w:pPr>
      <w:r>
        <w:rPr>
          <w:rFonts w:eastAsia="楷体_GB2312"/>
          <w:bCs/>
          <w:kern w:val="44"/>
          <w:sz w:val="32"/>
          <w:szCs w:val="32"/>
        </w:rPr>
        <w:t>（三）</w:t>
      </w:r>
      <w:r>
        <w:rPr>
          <w:rFonts w:hint="eastAsia" w:eastAsia="楷体_GB2312"/>
          <w:bCs/>
          <w:kern w:val="44"/>
          <w:sz w:val="32"/>
          <w:szCs w:val="32"/>
          <w:highlight w:val="none"/>
        </w:rPr>
        <w:t>一般公共预算财政拨款支出决算具体情况。</w:t>
      </w:r>
    </w:p>
    <w:p>
      <w:pPr>
        <w:adjustRightInd w:val="0"/>
        <w:snapToGrid w:val="0"/>
        <w:spacing w:line="560" w:lineRule="exact"/>
        <w:ind w:firstLine="640" w:firstLineChars="200"/>
        <w:rPr>
          <w:rFonts w:eastAsia="仿宋_GB2312"/>
          <w:bCs/>
          <w:color w:val="auto"/>
          <w:kern w:val="44"/>
          <w:sz w:val="32"/>
          <w:szCs w:val="32"/>
        </w:rPr>
      </w:pPr>
      <w:r>
        <w:rPr>
          <w:rFonts w:hint="eastAsia" w:eastAsia="仿宋_GB2312"/>
          <w:bCs/>
          <w:color w:val="auto"/>
          <w:kern w:val="44"/>
          <w:sz w:val="32"/>
          <w:szCs w:val="32"/>
          <w:highlight w:val="none"/>
        </w:rPr>
        <w:t>2022</w:t>
      </w:r>
      <w:r>
        <w:rPr>
          <w:rFonts w:eastAsia="仿宋_GB2312"/>
          <w:bCs/>
          <w:color w:val="auto"/>
          <w:kern w:val="44"/>
          <w:sz w:val="32"/>
          <w:szCs w:val="32"/>
          <w:highlight w:val="none"/>
        </w:rPr>
        <w:t>年度一般公共预算财政拨款支出年初预算为</w:t>
      </w:r>
      <w:r>
        <w:rPr>
          <w:rFonts w:hint="eastAsia" w:eastAsia="仿宋_GB2312"/>
          <w:bCs/>
          <w:color w:val="auto"/>
          <w:kern w:val="44"/>
          <w:sz w:val="32"/>
          <w:szCs w:val="32"/>
          <w:highlight w:val="none"/>
          <w:lang w:val="en-US" w:eastAsia="zh-CN"/>
        </w:rPr>
        <w:t>4465.27</w:t>
      </w:r>
      <w:r>
        <w:rPr>
          <w:rFonts w:eastAsia="仿宋_GB2312"/>
          <w:bCs/>
          <w:color w:val="auto"/>
          <w:kern w:val="44"/>
          <w:sz w:val="32"/>
          <w:szCs w:val="32"/>
          <w:highlight w:val="none"/>
        </w:rPr>
        <w:t>万元（含年初预算数</w:t>
      </w:r>
      <w:r>
        <w:rPr>
          <w:rFonts w:hint="eastAsia" w:eastAsia="仿宋_GB2312"/>
          <w:bCs/>
          <w:color w:val="auto"/>
          <w:kern w:val="44"/>
          <w:sz w:val="32"/>
          <w:szCs w:val="32"/>
          <w:highlight w:val="none"/>
          <w:lang w:val="en-US" w:eastAsia="zh-CN"/>
        </w:rPr>
        <w:t>4465.27</w:t>
      </w:r>
      <w:r>
        <w:rPr>
          <w:rFonts w:eastAsia="仿宋_GB2312"/>
          <w:bCs/>
          <w:color w:val="auto"/>
          <w:kern w:val="44"/>
          <w:sz w:val="32"/>
          <w:szCs w:val="32"/>
          <w:highlight w:val="none"/>
        </w:rPr>
        <w:t>万元，上年结转</w:t>
      </w:r>
      <w:r>
        <w:rPr>
          <w:rFonts w:hint="eastAsia" w:eastAsia="仿宋_GB2312"/>
          <w:bCs/>
          <w:color w:val="auto"/>
          <w:kern w:val="44"/>
          <w:sz w:val="32"/>
          <w:szCs w:val="32"/>
          <w:highlight w:val="none"/>
          <w:lang w:val="en-US" w:eastAsia="zh-CN"/>
        </w:rPr>
        <w:t>0</w:t>
      </w:r>
      <w:r>
        <w:rPr>
          <w:rFonts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3909.76</w:t>
      </w:r>
      <w:r>
        <w:rPr>
          <w:rFonts w:eastAsia="仿宋_GB2312"/>
          <w:bCs/>
          <w:color w:val="auto"/>
          <w:kern w:val="44"/>
          <w:sz w:val="32"/>
          <w:szCs w:val="32"/>
          <w:highlight w:val="none"/>
        </w:rPr>
        <w:t>万元，完成年初预</w:t>
      </w:r>
      <w:r>
        <w:rPr>
          <w:rFonts w:eastAsia="仿宋_GB2312"/>
          <w:bCs/>
          <w:color w:val="auto"/>
          <w:kern w:val="44"/>
          <w:sz w:val="32"/>
          <w:szCs w:val="32"/>
        </w:rPr>
        <w:t>算的</w:t>
      </w:r>
      <w:r>
        <w:rPr>
          <w:rFonts w:hint="eastAsia" w:eastAsia="仿宋_GB2312"/>
          <w:bCs/>
          <w:color w:val="auto"/>
          <w:kern w:val="44"/>
          <w:sz w:val="32"/>
          <w:szCs w:val="32"/>
          <w:lang w:val="en-US" w:eastAsia="zh-CN"/>
        </w:rPr>
        <w:t>87.56</w:t>
      </w:r>
      <w:r>
        <w:rPr>
          <w:rFonts w:eastAsia="仿宋_GB2312"/>
          <w:bCs/>
          <w:color w:val="auto"/>
          <w:kern w:val="44"/>
          <w:sz w:val="32"/>
          <w:szCs w:val="32"/>
        </w:rPr>
        <w:t>%。其中：</w:t>
      </w:r>
    </w:p>
    <w:p>
      <w:pPr>
        <w:numPr>
          <w:ilvl w:val="0"/>
          <w:numId w:val="3"/>
        </w:numPr>
        <w:adjustRightInd w:val="0"/>
        <w:snapToGrid w:val="0"/>
        <w:spacing w:line="560" w:lineRule="exact"/>
        <w:ind w:left="0" w:firstLine="640" w:firstLineChars="200"/>
        <w:rPr>
          <w:rFonts w:hint="eastAsia" w:eastAsia="仿宋_GB2312"/>
          <w:bCs/>
          <w:kern w:val="44"/>
          <w:sz w:val="32"/>
          <w:szCs w:val="32"/>
        </w:rPr>
      </w:pPr>
      <w:r>
        <w:rPr>
          <w:rFonts w:hint="eastAsia" w:eastAsia="仿宋_GB2312"/>
          <w:bCs/>
          <w:color w:val="auto"/>
          <w:kern w:val="44"/>
          <w:sz w:val="32"/>
          <w:szCs w:val="32"/>
        </w:rPr>
        <w:t>科学技术支出（类）。年初预算为</w:t>
      </w:r>
      <w:r>
        <w:rPr>
          <w:rFonts w:hint="eastAsia" w:eastAsia="仿宋_GB2312"/>
          <w:bCs/>
          <w:color w:val="auto"/>
          <w:kern w:val="44"/>
          <w:sz w:val="32"/>
          <w:szCs w:val="32"/>
          <w:lang w:val="en-US" w:eastAsia="zh-CN"/>
        </w:rPr>
        <w:t>4001.27</w:t>
      </w:r>
      <w:r>
        <w:rPr>
          <w:rFonts w:hint="eastAsia" w:eastAsia="仿宋_GB2312"/>
          <w:bCs/>
          <w:color w:val="auto"/>
          <w:kern w:val="44"/>
          <w:sz w:val="32"/>
          <w:szCs w:val="32"/>
        </w:rPr>
        <w:t>万</w:t>
      </w:r>
      <w:r>
        <w:rPr>
          <w:rFonts w:hint="eastAsia" w:eastAsia="仿宋_GB2312"/>
          <w:bCs/>
          <w:kern w:val="44"/>
          <w:sz w:val="32"/>
          <w:szCs w:val="32"/>
        </w:rPr>
        <w:t>元，支出决算为</w:t>
      </w:r>
      <w:r>
        <w:rPr>
          <w:rFonts w:hint="eastAsia" w:eastAsia="仿宋_GB2312"/>
          <w:bCs/>
          <w:kern w:val="44"/>
          <w:sz w:val="32"/>
          <w:szCs w:val="32"/>
          <w:lang w:val="en-US" w:eastAsia="zh-CN"/>
        </w:rPr>
        <w:t>2462.64</w:t>
      </w:r>
      <w:r>
        <w:rPr>
          <w:rFonts w:hint="eastAsia" w:eastAsia="仿宋_GB2312"/>
          <w:bCs/>
          <w:kern w:val="44"/>
          <w:sz w:val="32"/>
          <w:szCs w:val="32"/>
        </w:rPr>
        <w:t>万元，完成年初预算的</w:t>
      </w:r>
      <w:r>
        <w:rPr>
          <w:rFonts w:hint="eastAsia" w:eastAsia="仿宋_GB2312"/>
          <w:bCs/>
          <w:kern w:val="44"/>
          <w:sz w:val="32"/>
          <w:szCs w:val="32"/>
          <w:lang w:val="en-US" w:eastAsia="zh-CN"/>
        </w:rPr>
        <w:t>61.55</w:t>
      </w:r>
      <w:r>
        <w:rPr>
          <w:rFonts w:hint="eastAsia" w:eastAsia="仿宋_GB2312"/>
          <w:bCs/>
          <w:kern w:val="44"/>
          <w:sz w:val="32"/>
          <w:szCs w:val="32"/>
        </w:rPr>
        <w:t>%。</w:t>
      </w:r>
    </w:p>
    <w:p>
      <w:pPr>
        <w:numPr>
          <w:ilvl w:val="0"/>
          <w:numId w:val="3"/>
        </w:numPr>
        <w:adjustRightInd w:val="0"/>
        <w:snapToGrid w:val="0"/>
        <w:spacing w:line="560" w:lineRule="exact"/>
        <w:ind w:left="0" w:firstLine="640" w:firstLineChars="200"/>
        <w:rPr>
          <w:rFonts w:hint="eastAsia" w:eastAsia="仿宋_GB2312"/>
          <w:bCs/>
          <w:kern w:val="44"/>
          <w:sz w:val="32"/>
          <w:szCs w:val="32"/>
        </w:rPr>
      </w:pPr>
      <w:r>
        <w:rPr>
          <w:rFonts w:hint="eastAsia" w:eastAsia="仿宋_GB2312"/>
          <w:bCs/>
          <w:kern w:val="44"/>
          <w:sz w:val="32"/>
          <w:szCs w:val="32"/>
        </w:rPr>
        <w:t>社会保障和就业支出(类)。年初预算为</w:t>
      </w:r>
      <w:r>
        <w:rPr>
          <w:rFonts w:hint="eastAsia" w:eastAsia="仿宋_GB2312"/>
          <w:bCs/>
          <w:kern w:val="44"/>
          <w:sz w:val="32"/>
          <w:szCs w:val="32"/>
          <w:lang w:val="en-US" w:eastAsia="zh-CN"/>
        </w:rPr>
        <w:t>260</w:t>
      </w:r>
      <w:r>
        <w:rPr>
          <w:rFonts w:hint="eastAsia" w:eastAsia="仿宋_GB2312"/>
          <w:bCs/>
          <w:kern w:val="44"/>
          <w:sz w:val="32"/>
          <w:szCs w:val="32"/>
        </w:rPr>
        <w:t>万元，支出决算为</w:t>
      </w:r>
      <w:r>
        <w:rPr>
          <w:rFonts w:hint="eastAsia" w:eastAsia="仿宋_GB2312"/>
          <w:bCs/>
          <w:kern w:val="44"/>
          <w:sz w:val="32"/>
          <w:szCs w:val="32"/>
          <w:lang w:val="en-US" w:eastAsia="zh-CN"/>
        </w:rPr>
        <w:t>1237.97</w:t>
      </w:r>
      <w:r>
        <w:rPr>
          <w:rFonts w:hint="eastAsia" w:eastAsia="仿宋_GB2312"/>
          <w:bCs/>
          <w:kern w:val="44"/>
          <w:sz w:val="32"/>
          <w:szCs w:val="32"/>
        </w:rPr>
        <w:t>万元，完成年初预算的</w:t>
      </w:r>
      <w:r>
        <w:rPr>
          <w:rFonts w:hint="eastAsia" w:eastAsia="仿宋_GB2312"/>
          <w:bCs/>
          <w:kern w:val="44"/>
          <w:sz w:val="32"/>
          <w:szCs w:val="32"/>
          <w:lang w:val="en-US" w:eastAsia="zh-CN"/>
        </w:rPr>
        <w:t>476.14</w:t>
      </w:r>
      <w:r>
        <w:rPr>
          <w:rFonts w:hint="eastAsia" w:eastAsia="仿宋_GB2312"/>
          <w:bCs/>
          <w:kern w:val="44"/>
          <w:sz w:val="32"/>
          <w:szCs w:val="32"/>
        </w:rPr>
        <w:t>%。决算大于预算原因为</w:t>
      </w:r>
      <w:r>
        <w:rPr>
          <w:rFonts w:hint="eastAsia" w:eastAsia="仿宋_GB2312"/>
          <w:bCs/>
          <w:kern w:val="44"/>
          <w:sz w:val="32"/>
          <w:szCs w:val="32"/>
          <w:lang w:val="en-US" w:eastAsia="zh-CN"/>
        </w:rPr>
        <w:t>预算追加养老保险调基经费。</w:t>
      </w:r>
    </w:p>
    <w:p>
      <w:pPr>
        <w:numPr>
          <w:ilvl w:val="0"/>
          <w:numId w:val="3"/>
        </w:numPr>
        <w:adjustRightInd w:val="0"/>
        <w:snapToGrid w:val="0"/>
        <w:spacing w:line="560" w:lineRule="exact"/>
        <w:ind w:left="0" w:firstLine="640" w:firstLineChars="200"/>
        <w:rPr>
          <w:rFonts w:eastAsia="仿宋_GB2312"/>
          <w:bCs/>
          <w:color w:val="0000FF"/>
          <w:kern w:val="44"/>
          <w:sz w:val="32"/>
          <w:szCs w:val="32"/>
        </w:rPr>
      </w:pPr>
      <w:r>
        <w:rPr>
          <w:rFonts w:hint="eastAsia" w:eastAsia="仿宋_GB2312"/>
          <w:bCs/>
          <w:kern w:val="44"/>
          <w:sz w:val="32"/>
          <w:szCs w:val="32"/>
        </w:rPr>
        <w:t>卫生健康支出(类)</w:t>
      </w:r>
      <w:r>
        <w:rPr>
          <w:rFonts w:hint="eastAsia" w:eastAsia="仿宋_GB2312"/>
          <w:bCs/>
          <w:kern w:val="44"/>
          <w:sz w:val="32"/>
          <w:szCs w:val="32"/>
          <w:lang w:val="en-US" w:eastAsia="zh-CN"/>
        </w:rPr>
        <w:t>。年初预算为0，支出决算为6.88万元。决算大于预算原因为预算调整追加省直公费医疗。</w:t>
      </w:r>
    </w:p>
    <w:p>
      <w:pPr>
        <w:numPr>
          <w:ilvl w:val="0"/>
          <w:numId w:val="3"/>
        </w:numPr>
        <w:adjustRightInd w:val="0"/>
        <w:snapToGrid w:val="0"/>
        <w:spacing w:line="560" w:lineRule="exact"/>
        <w:ind w:left="0" w:firstLine="640" w:firstLineChars="200"/>
      </w:pPr>
      <w:r>
        <w:rPr>
          <w:rFonts w:eastAsia="仿宋_GB2312"/>
          <w:bCs/>
          <w:kern w:val="44"/>
          <w:sz w:val="32"/>
          <w:szCs w:val="32"/>
        </w:rPr>
        <w:t>住房保障支出(类)。年初预算为</w:t>
      </w:r>
      <w:r>
        <w:rPr>
          <w:rFonts w:hint="eastAsia" w:eastAsia="仿宋_GB2312"/>
          <w:bCs/>
          <w:kern w:val="44"/>
          <w:sz w:val="32"/>
          <w:szCs w:val="32"/>
          <w:lang w:val="en-US" w:eastAsia="zh-CN"/>
        </w:rPr>
        <w:t>208</w:t>
      </w:r>
      <w:r>
        <w:rPr>
          <w:rFonts w:eastAsia="仿宋_GB2312"/>
          <w:bCs/>
          <w:kern w:val="44"/>
          <w:sz w:val="32"/>
          <w:szCs w:val="32"/>
        </w:rPr>
        <w:t>万元，支出决算为</w:t>
      </w:r>
      <w:r>
        <w:rPr>
          <w:rFonts w:hint="eastAsia" w:eastAsia="仿宋_GB2312"/>
          <w:bCs/>
          <w:kern w:val="44"/>
          <w:sz w:val="32"/>
          <w:szCs w:val="32"/>
          <w:lang w:val="en-US" w:eastAsia="zh-CN"/>
        </w:rPr>
        <w:t>202.27</w:t>
      </w:r>
      <w:r>
        <w:rPr>
          <w:rFonts w:eastAsia="仿宋_GB2312"/>
          <w:bCs/>
          <w:kern w:val="44"/>
          <w:sz w:val="32"/>
          <w:szCs w:val="32"/>
        </w:rPr>
        <w:t>万元，完成年初预算的</w:t>
      </w:r>
      <w:r>
        <w:rPr>
          <w:rFonts w:hint="eastAsia" w:eastAsia="仿宋_GB2312"/>
          <w:bCs/>
          <w:kern w:val="44"/>
          <w:sz w:val="32"/>
          <w:szCs w:val="32"/>
          <w:lang w:val="en-US" w:eastAsia="zh-CN"/>
        </w:rPr>
        <w:t>97.25</w:t>
      </w:r>
      <w:r>
        <w:rPr>
          <w:rFonts w:eastAsia="仿宋_GB2312"/>
          <w:bCs/>
          <w:kern w:val="44"/>
          <w:sz w:val="32"/>
          <w:szCs w:val="32"/>
        </w:rPr>
        <w:t>%。</w:t>
      </w:r>
    </w:p>
    <w:p>
      <w:pPr>
        <w:numPr>
          <w:ilvl w:val="0"/>
          <w:numId w:val="4"/>
        </w:numPr>
        <w:adjustRightInd w:val="0"/>
        <w:snapToGrid w:val="0"/>
        <w:spacing w:line="560" w:lineRule="exact"/>
        <w:ind w:firstLine="640" w:firstLineChars="200"/>
        <w:rPr>
          <w:rFonts w:eastAsia="黑体"/>
          <w:bCs/>
          <w:color w:val="auto"/>
          <w:sz w:val="32"/>
          <w:szCs w:val="32"/>
        </w:rPr>
      </w:pPr>
      <w:r>
        <w:rPr>
          <w:rFonts w:eastAsia="黑体"/>
          <w:bCs/>
          <w:color w:val="auto"/>
          <w:sz w:val="32"/>
          <w:szCs w:val="32"/>
        </w:rPr>
        <w:t>一</w:t>
      </w:r>
      <w:r>
        <w:rPr>
          <w:rFonts w:eastAsia="黑体"/>
          <w:bCs/>
          <w:color w:val="auto"/>
          <w:sz w:val="32"/>
          <w:szCs w:val="32"/>
          <w:highlight w:val="none"/>
        </w:rPr>
        <w:t>般公共预算财政拨款基本支出决算</w:t>
      </w:r>
      <w:r>
        <w:rPr>
          <w:rFonts w:eastAsia="黑体"/>
          <w:bCs/>
          <w:color w:val="auto"/>
          <w:sz w:val="32"/>
          <w:szCs w:val="32"/>
        </w:rPr>
        <w:t>情况说明</w:t>
      </w:r>
    </w:p>
    <w:p>
      <w:pPr>
        <w:adjustRightInd w:val="0"/>
        <w:snapToGrid w:val="0"/>
        <w:spacing w:line="560" w:lineRule="exact"/>
        <w:ind w:firstLine="640" w:firstLineChars="200"/>
        <w:rPr>
          <w:rFonts w:eastAsia="仿宋_GB2312"/>
          <w:bCs/>
          <w:kern w:val="44"/>
          <w:sz w:val="32"/>
          <w:szCs w:val="32"/>
        </w:rPr>
      </w:pPr>
      <w:r>
        <w:rPr>
          <w:rFonts w:hint="eastAsia" w:eastAsia="仿宋_GB2312"/>
          <w:bCs/>
          <w:color w:val="auto"/>
          <w:kern w:val="44"/>
          <w:sz w:val="32"/>
          <w:szCs w:val="32"/>
        </w:rPr>
        <w:t>2022</w:t>
      </w:r>
      <w:r>
        <w:rPr>
          <w:rFonts w:eastAsia="仿宋_GB2312"/>
          <w:bCs/>
          <w:color w:val="auto"/>
          <w:kern w:val="44"/>
          <w:sz w:val="32"/>
          <w:szCs w:val="32"/>
        </w:rPr>
        <w:t>年度一般公共预算财政拨款基本支出</w:t>
      </w:r>
      <w:r>
        <w:rPr>
          <w:rFonts w:hint="eastAsia" w:eastAsia="仿宋_GB2312"/>
          <w:bCs/>
          <w:color w:val="auto"/>
          <w:kern w:val="44"/>
          <w:sz w:val="32"/>
          <w:szCs w:val="32"/>
          <w:lang w:val="en-US" w:eastAsia="zh-CN"/>
        </w:rPr>
        <w:t>3519.08</w:t>
      </w:r>
      <w:r>
        <w:rPr>
          <w:rFonts w:eastAsia="仿宋_GB2312"/>
          <w:bCs/>
          <w:kern w:val="44"/>
          <w:sz w:val="32"/>
          <w:szCs w:val="32"/>
        </w:rPr>
        <w:t>万元，其中：</w:t>
      </w:r>
    </w:p>
    <w:p>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人员经费</w:t>
      </w:r>
      <w:r>
        <w:rPr>
          <w:rFonts w:hint="eastAsia" w:eastAsia="仿宋_GB2312"/>
          <w:bCs/>
          <w:kern w:val="44"/>
          <w:sz w:val="32"/>
          <w:szCs w:val="32"/>
          <w:lang w:val="en-US" w:eastAsia="zh-CN"/>
        </w:rPr>
        <w:t>3338.75</w:t>
      </w:r>
      <w:r>
        <w:rPr>
          <w:rFonts w:eastAsia="仿宋_GB2312"/>
          <w:bCs/>
          <w:kern w:val="44"/>
          <w:sz w:val="32"/>
          <w:szCs w:val="32"/>
        </w:rPr>
        <w:t>万元，主要包括：基本工资、津贴补贴、绩效工资、机关事业单位基本养老保险缴费、职业年金缴费、住房公积金、医疗费、退休费、抚恤金、生活补助、医疗费补助。</w:t>
      </w:r>
    </w:p>
    <w:p>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公用经费</w:t>
      </w:r>
      <w:r>
        <w:rPr>
          <w:rFonts w:hint="eastAsia" w:eastAsia="仿宋_GB2312"/>
          <w:bCs/>
          <w:kern w:val="44"/>
          <w:sz w:val="32"/>
          <w:szCs w:val="32"/>
          <w:lang w:val="en-US" w:eastAsia="zh-CN"/>
        </w:rPr>
        <w:t>180.35</w:t>
      </w:r>
      <w:r>
        <w:rPr>
          <w:rFonts w:eastAsia="仿宋_GB2312"/>
          <w:bCs/>
          <w:kern w:val="44"/>
          <w:sz w:val="32"/>
          <w:szCs w:val="32"/>
        </w:rPr>
        <w:t>万元，主要包括：办公费、印刷费、水费、电费、邮电费、物业管理费、维修(护)费、</w:t>
      </w:r>
      <w:r>
        <w:rPr>
          <w:rFonts w:hint="eastAsia" w:eastAsia="仿宋_GB2312"/>
          <w:bCs/>
          <w:kern w:val="44"/>
          <w:sz w:val="32"/>
          <w:szCs w:val="32"/>
        </w:rPr>
        <w:t>专用材料费、</w:t>
      </w:r>
      <w:r>
        <w:rPr>
          <w:rFonts w:eastAsia="仿宋_GB2312"/>
          <w:bCs/>
          <w:kern w:val="44"/>
          <w:sz w:val="32"/>
          <w:szCs w:val="32"/>
        </w:rPr>
        <w:t>劳务费、委托业务费、工会经费、其他交通费用、其他商品和服务支出、办公设备购置。</w:t>
      </w:r>
    </w:p>
    <w:p>
      <w:pPr>
        <w:numPr>
          <w:ilvl w:val="0"/>
          <w:numId w:val="4"/>
        </w:numPr>
        <w:adjustRightInd w:val="0"/>
        <w:snapToGrid w:val="0"/>
        <w:spacing w:line="560" w:lineRule="exact"/>
        <w:ind w:firstLine="640" w:firstLineChars="200"/>
        <w:rPr>
          <w:rFonts w:eastAsia="黑体"/>
          <w:bCs/>
          <w:sz w:val="32"/>
          <w:szCs w:val="32"/>
        </w:rPr>
      </w:pPr>
      <w:r>
        <w:rPr>
          <w:rFonts w:eastAsia="黑体"/>
          <w:bCs/>
          <w:sz w:val="32"/>
          <w:szCs w:val="32"/>
        </w:rPr>
        <w:t xml:space="preserve">政府性基金预算财政拨款收入支出决算情况说明 </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本部门没有政府性基金预算财政拨款收入，也没有使用政府性基金预算财政拨款安排的支出，空表已公开。</w:t>
      </w:r>
    </w:p>
    <w:p>
      <w:pPr>
        <w:numPr>
          <w:ilvl w:val="0"/>
          <w:numId w:val="4"/>
        </w:numPr>
        <w:adjustRightInd w:val="0"/>
        <w:snapToGrid w:val="0"/>
        <w:spacing w:line="560" w:lineRule="exact"/>
        <w:ind w:firstLine="640" w:firstLineChars="200"/>
        <w:rPr>
          <w:rFonts w:eastAsia="黑体"/>
          <w:bCs/>
          <w:sz w:val="32"/>
          <w:szCs w:val="32"/>
        </w:rPr>
      </w:pPr>
      <w:r>
        <w:rPr>
          <w:rFonts w:eastAsia="黑体"/>
          <w:bCs/>
          <w:sz w:val="32"/>
          <w:szCs w:val="32"/>
        </w:rPr>
        <w:t>国有资本经营预算财政拨款支出决算情况说明</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本部门没有使用国有资本经营预算财政拨款安排的支出，空表已公开。</w:t>
      </w:r>
    </w:p>
    <w:p>
      <w:pPr>
        <w:numPr>
          <w:ilvl w:val="0"/>
          <w:numId w:val="4"/>
        </w:numPr>
        <w:adjustRightInd w:val="0"/>
        <w:snapToGrid w:val="0"/>
        <w:spacing w:line="560" w:lineRule="exact"/>
        <w:ind w:firstLine="664" w:firstLineChars="200"/>
        <w:rPr>
          <w:rFonts w:eastAsia="黑体"/>
          <w:bCs/>
          <w:spacing w:val="6"/>
          <w:sz w:val="32"/>
          <w:szCs w:val="32"/>
          <w:highlight w:val="none"/>
        </w:rPr>
      </w:pPr>
      <w:r>
        <w:rPr>
          <w:rFonts w:eastAsia="黑体"/>
          <w:bCs/>
          <w:spacing w:val="6"/>
          <w:sz w:val="32"/>
          <w:szCs w:val="32"/>
          <w:highlight w:val="none"/>
        </w:rPr>
        <w:t xml:space="preserve">财政拨款“三公”经费支出决算情况说明 </w:t>
      </w:r>
    </w:p>
    <w:p>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highlight w:val="none"/>
        </w:rPr>
        <w:t>（一）“三公”经费财政拨款支出决算总体情</w:t>
      </w:r>
      <w:r>
        <w:rPr>
          <w:rFonts w:eastAsia="楷体_GB2312"/>
          <w:bCs/>
          <w:kern w:val="44"/>
          <w:sz w:val="32"/>
          <w:szCs w:val="32"/>
        </w:rPr>
        <w:t>况说明。</w:t>
      </w:r>
    </w:p>
    <w:p>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年度“三公”经费财政拨款支出预算为</w:t>
      </w:r>
      <w:r>
        <w:rPr>
          <w:rFonts w:hint="eastAsia" w:eastAsia="仿宋_GB2312"/>
          <w:bCs/>
          <w:kern w:val="44"/>
          <w:sz w:val="32"/>
          <w:szCs w:val="32"/>
          <w:lang w:val="en-US" w:eastAsia="zh-CN"/>
        </w:rPr>
        <w:t>0</w:t>
      </w:r>
      <w:r>
        <w:rPr>
          <w:rFonts w:eastAsia="仿宋_GB2312"/>
          <w:bCs/>
          <w:kern w:val="44"/>
          <w:sz w:val="32"/>
          <w:szCs w:val="32"/>
        </w:rPr>
        <w:t>万元，支出决算为</w:t>
      </w:r>
      <w:r>
        <w:rPr>
          <w:rFonts w:hint="eastAsia" w:eastAsia="仿宋_GB2312"/>
          <w:bCs/>
          <w:kern w:val="44"/>
          <w:sz w:val="32"/>
          <w:szCs w:val="32"/>
          <w:lang w:val="en-US" w:eastAsia="zh-CN"/>
        </w:rPr>
        <w:t>0</w:t>
      </w:r>
      <w:r>
        <w:rPr>
          <w:rFonts w:eastAsia="仿宋_GB2312"/>
          <w:bCs/>
          <w:kern w:val="44"/>
          <w:sz w:val="32"/>
          <w:szCs w:val="32"/>
        </w:rPr>
        <w:t>万元，完成预算的</w:t>
      </w:r>
      <w:r>
        <w:rPr>
          <w:rFonts w:hint="eastAsia" w:eastAsia="仿宋_GB2312"/>
          <w:bCs/>
          <w:kern w:val="44"/>
          <w:sz w:val="32"/>
          <w:szCs w:val="32"/>
          <w:lang w:val="en-US" w:eastAsia="zh-CN"/>
        </w:rPr>
        <w:t>0</w:t>
      </w:r>
      <w:r>
        <w:rPr>
          <w:rFonts w:eastAsia="仿宋_GB2312"/>
          <w:bCs/>
          <w:kern w:val="44"/>
          <w:sz w:val="32"/>
          <w:szCs w:val="32"/>
        </w:rPr>
        <w:t>%。较</w:t>
      </w:r>
      <w:r>
        <w:rPr>
          <w:rFonts w:hint="eastAsia" w:eastAsia="仿宋_GB2312"/>
          <w:bCs/>
          <w:kern w:val="44"/>
          <w:sz w:val="32"/>
          <w:szCs w:val="32"/>
        </w:rPr>
        <w:t>202</w:t>
      </w:r>
      <w:r>
        <w:rPr>
          <w:rFonts w:hint="eastAsia" w:eastAsia="仿宋_GB2312"/>
          <w:bCs/>
          <w:kern w:val="44"/>
          <w:sz w:val="32"/>
          <w:szCs w:val="32"/>
          <w:lang w:val="en-US" w:eastAsia="zh-CN"/>
        </w:rPr>
        <w:t>2</w:t>
      </w:r>
      <w:r>
        <w:rPr>
          <w:rFonts w:eastAsia="仿宋_GB2312"/>
          <w:bCs/>
          <w:kern w:val="44"/>
          <w:sz w:val="32"/>
          <w:szCs w:val="32"/>
        </w:rPr>
        <w:t>年决算下降</w:t>
      </w:r>
      <w:r>
        <w:rPr>
          <w:rFonts w:hint="eastAsia" w:eastAsia="仿宋_GB2312"/>
          <w:bCs/>
          <w:kern w:val="44"/>
          <w:sz w:val="32"/>
          <w:szCs w:val="32"/>
          <w:lang w:val="en-US" w:eastAsia="zh-CN"/>
        </w:rPr>
        <w:t>0</w:t>
      </w:r>
      <w:r>
        <w:rPr>
          <w:rFonts w:eastAsia="仿宋_GB2312"/>
          <w:bCs/>
          <w:kern w:val="44"/>
          <w:sz w:val="32"/>
          <w:szCs w:val="32"/>
        </w:rPr>
        <w:t>万元，同比下降</w:t>
      </w:r>
      <w:r>
        <w:rPr>
          <w:rFonts w:hint="eastAsia" w:eastAsia="仿宋_GB2312"/>
          <w:bCs/>
          <w:kern w:val="44"/>
          <w:sz w:val="32"/>
          <w:szCs w:val="32"/>
          <w:lang w:val="en-US" w:eastAsia="zh-CN"/>
        </w:rPr>
        <w:t>0</w:t>
      </w:r>
      <w:r>
        <w:rPr>
          <w:rFonts w:eastAsia="仿宋_GB2312"/>
          <w:bCs/>
          <w:kern w:val="44"/>
          <w:sz w:val="32"/>
          <w:szCs w:val="32"/>
        </w:rPr>
        <w:t>%。决算数</w:t>
      </w:r>
      <w:r>
        <w:rPr>
          <w:rFonts w:hint="eastAsia" w:eastAsia="仿宋_GB2312"/>
          <w:bCs/>
          <w:kern w:val="44"/>
          <w:sz w:val="32"/>
          <w:szCs w:val="32"/>
          <w:lang w:eastAsia="zh-CN"/>
        </w:rPr>
        <w:t>与</w:t>
      </w:r>
      <w:r>
        <w:rPr>
          <w:rFonts w:eastAsia="仿宋_GB2312"/>
          <w:bCs/>
          <w:kern w:val="44"/>
          <w:sz w:val="32"/>
          <w:szCs w:val="32"/>
        </w:rPr>
        <w:t>预算数</w:t>
      </w:r>
      <w:r>
        <w:rPr>
          <w:rFonts w:hint="eastAsia" w:eastAsia="仿宋_GB2312"/>
          <w:bCs/>
          <w:kern w:val="44"/>
          <w:sz w:val="32"/>
          <w:szCs w:val="32"/>
          <w:lang w:eastAsia="zh-CN"/>
        </w:rPr>
        <w:t>相同</w:t>
      </w:r>
      <w:r>
        <w:rPr>
          <w:rFonts w:eastAsia="仿宋_GB2312"/>
          <w:bCs/>
          <w:kern w:val="44"/>
          <w:sz w:val="32"/>
          <w:szCs w:val="32"/>
        </w:rPr>
        <w:t>。</w:t>
      </w:r>
    </w:p>
    <w:p>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（二）“三公”经费财政拨款支出决算具体情况说明。</w:t>
      </w:r>
    </w:p>
    <w:p>
      <w:pPr>
        <w:adjustRightInd w:val="0"/>
        <w:snapToGrid w:val="0"/>
        <w:spacing w:line="560" w:lineRule="exact"/>
        <w:ind w:firstLine="640" w:firstLineChars="200"/>
        <w:rPr>
          <w:rFonts w:eastAsia="仿宋_GB2312"/>
          <w:sz w:val="32"/>
          <w:szCs w:val="32"/>
        </w:rPr>
      </w:pPr>
      <w:r>
        <w:rPr>
          <w:rFonts w:eastAsia="仿宋_GB2312"/>
          <w:color w:val="000000"/>
          <w:sz w:val="32"/>
          <w:szCs w:val="32"/>
        </w:rPr>
        <w:t>1.  因公出国(境)费预算为</w:t>
      </w:r>
      <w:r>
        <w:rPr>
          <w:rFonts w:hint="eastAsia" w:eastAsia="仿宋_GB2312"/>
          <w:color w:val="000000"/>
          <w:sz w:val="32"/>
          <w:szCs w:val="32"/>
        </w:rPr>
        <w:t>0</w:t>
      </w:r>
      <w:r>
        <w:rPr>
          <w:rFonts w:eastAsia="仿宋_GB2312"/>
          <w:color w:val="000000"/>
          <w:sz w:val="32"/>
          <w:szCs w:val="32"/>
        </w:rPr>
        <w:t>万元，支出决算为0万元，全年支出涉及出国（境）团组0个，累计0人次。</w:t>
      </w:r>
      <w:r>
        <w:rPr>
          <w:rFonts w:hint="eastAsia" w:eastAsia="仿宋_GB2312"/>
          <w:color w:val="000000"/>
          <w:sz w:val="32"/>
          <w:szCs w:val="32"/>
        </w:rPr>
        <w:t>与202</w:t>
      </w:r>
      <w:r>
        <w:rPr>
          <w:rFonts w:hint="eastAsia" w:eastAsia="仿宋_GB2312"/>
          <w:color w:val="000000"/>
          <w:sz w:val="32"/>
          <w:szCs w:val="32"/>
          <w:lang w:val="en-US" w:eastAsia="zh-CN"/>
        </w:rPr>
        <w:t>2</w:t>
      </w:r>
      <w:r>
        <w:rPr>
          <w:rFonts w:eastAsia="仿宋_GB2312"/>
          <w:color w:val="000000"/>
          <w:sz w:val="32"/>
          <w:szCs w:val="32"/>
        </w:rPr>
        <w:t>年决算</w:t>
      </w:r>
      <w:r>
        <w:rPr>
          <w:rFonts w:eastAsia="仿宋_GB2312"/>
          <w:sz w:val="32"/>
          <w:szCs w:val="32"/>
        </w:rPr>
        <w:t>支出数</w:t>
      </w:r>
      <w:r>
        <w:rPr>
          <w:rFonts w:hint="eastAsia" w:eastAsia="仿宋_GB2312"/>
          <w:sz w:val="32"/>
          <w:szCs w:val="32"/>
        </w:rPr>
        <w:t>相同</w:t>
      </w:r>
      <w:r>
        <w:rPr>
          <w:rFonts w:eastAsia="仿宋_GB2312"/>
          <w:sz w:val="32"/>
          <w:szCs w:val="32"/>
        </w:rPr>
        <w:t>。</w:t>
      </w:r>
    </w:p>
    <w:p>
      <w:pPr>
        <w:adjustRightInd w:val="0"/>
        <w:snapToGrid w:val="0"/>
        <w:spacing w:line="560" w:lineRule="exact"/>
        <w:ind w:firstLine="640" w:firstLineChars="200"/>
        <w:rPr>
          <w:rFonts w:eastAsia="仿宋_GB2312"/>
          <w:sz w:val="32"/>
          <w:szCs w:val="32"/>
        </w:rPr>
      </w:pPr>
      <w:r>
        <w:rPr>
          <w:rFonts w:eastAsia="仿宋_GB2312"/>
          <w:sz w:val="32"/>
          <w:szCs w:val="32"/>
        </w:rPr>
        <w:t>《国务院办公厅关于改革完善中央财政科研经费管理的若干意见》（国办发〔</w:t>
      </w:r>
      <w:r>
        <w:rPr>
          <w:rFonts w:hint="eastAsia" w:eastAsia="仿宋_GB2312"/>
          <w:sz w:val="32"/>
          <w:szCs w:val="32"/>
        </w:rPr>
        <w:t>202</w:t>
      </w:r>
      <w:r>
        <w:rPr>
          <w:rFonts w:hint="eastAsia" w:eastAsia="仿宋_GB2312"/>
          <w:sz w:val="32"/>
          <w:szCs w:val="32"/>
          <w:lang w:val="en-US" w:eastAsia="zh-CN"/>
        </w:rPr>
        <w:t>1</w:t>
      </w:r>
      <w:r>
        <w:rPr>
          <w:rFonts w:eastAsia="仿宋_GB2312"/>
          <w:sz w:val="32"/>
          <w:szCs w:val="32"/>
        </w:rPr>
        <w:t>〕32号）规定，对科研人员因公出国（境）开展国际合作与交流的管理应与行政人员有所区别，对为完成科研项目任务目标、从科研经费中列支费用的国际合作与交流按业务类别单独管理，根据需要开展工作。从科研经费中列支的国际合作与交流费用不纳入“三公”经费统计范围，不受零增长要求限制。</w:t>
      </w:r>
      <w:r>
        <w:rPr>
          <w:rFonts w:hint="eastAsia" w:eastAsia="仿宋_GB2312"/>
          <w:sz w:val="32"/>
          <w:szCs w:val="32"/>
          <w:lang w:eastAsia="zh-CN"/>
        </w:rPr>
        <w:t>我站</w:t>
      </w:r>
      <w:r>
        <w:rPr>
          <w:rFonts w:eastAsia="仿宋_GB2312"/>
          <w:sz w:val="32"/>
          <w:szCs w:val="32"/>
        </w:rPr>
        <w:t>将继续严格执行中央八项规定及其实施细则，厉行勤俭节约，严控出国（境）开支，从严审批出国（境）批、人（次）及停留天数。</w:t>
      </w:r>
    </w:p>
    <w:p>
      <w:pPr>
        <w:numPr>
          <w:ilvl w:val="0"/>
          <w:numId w:val="5"/>
        </w:num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公务用车购置及运行费预算为</w:t>
      </w:r>
      <w:r>
        <w:rPr>
          <w:rFonts w:hint="eastAsia" w:eastAsia="仿宋_GB2312"/>
          <w:color w:val="000000"/>
          <w:sz w:val="32"/>
          <w:szCs w:val="32"/>
          <w:lang w:val="en-US" w:eastAsia="zh-CN"/>
        </w:rPr>
        <w:t>0</w:t>
      </w:r>
      <w:r>
        <w:rPr>
          <w:rFonts w:eastAsia="仿宋_GB2312"/>
          <w:color w:val="000000"/>
          <w:sz w:val="32"/>
          <w:szCs w:val="32"/>
        </w:rPr>
        <w:t>万元，支出决算为</w:t>
      </w:r>
      <w:r>
        <w:rPr>
          <w:rFonts w:hint="eastAsia" w:eastAsia="仿宋_GB2312"/>
          <w:color w:val="000000"/>
          <w:sz w:val="32"/>
          <w:szCs w:val="32"/>
          <w:lang w:val="en-US" w:eastAsia="zh-CN"/>
        </w:rPr>
        <w:t>0</w:t>
      </w:r>
      <w:r>
        <w:rPr>
          <w:rFonts w:eastAsia="仿宋_GB2312"/>
          <w:color w:val="000000"/>
          <w:sz w:val="32"/>
          <w:szCs w:val="32"/>
        </w:rPr>
        <w:t>万元，完成年初预算的</w:t>
      </w:r>
      <w:r>
        <w:rPr>
          <w:rFonts w:hint="eastAsia" w:eastAsia="仿宋_GB2312"/>
          <w:color w:val="000000"/>
          <w:sz w:val="32"/>
          <w:szCs w:val="32"/>
          <w:lang w:val="en-US" w:eastAsia="zh-CN"/>
        </w:rPr>
        <w:t>0</w:t>
      </w:r>
      <w:r>
        <w:rPr>
          <w:rFonts w:eastAsia="仿宋_GB2312"/>
          <w:color w:val="000000"/>
          <w:sz w:val="32"/>
          <w:szCs w:val="32"/>
        </w:rPr>
        <w:t>%；</w:t>
      </w:r>
      <w:r>
        <w:rPr>
          <w:rFonts w:eastAsia="仿宋_GB2312"/>
          <w:sz w:val="32"/>
          <w:szCs w:val="32"/>
        </w:rPr>
        <w:t>较上年支出数减少</w:t>
      </w:r>
      <w:r>
        <w:rPr>
          <w:rFonts w:hint="eastAsia" w:eastAsia="仿宋_GB2312"/>
          <w:sz w:val="32"/>
          <w:szCs w:val="32"/>
          <w:lang w:val="en-US" w:eastAsia="zh-CN"/>
        </w:rPr>
        <w:t>0</w:t>
      </w:r>
      <w:r>
        <w:rPr>
          <w:rFonts w:eastAsia="仿宋_GB2312"/>
          <w:sz w:val="32"/>
          <w:szCs w:val="32"/>
        </w:rPr>
        <w:t>万元，</w:t>
      </w:r>
      <w:r>
        <w:rPr>
          <w:rFonts w:eastAsia="仿宋_GB2312"/>
          <w:color w:val="000000"/>
          <w:sz w:val="32"/>
          <w:szCs w:val="32"/>
        </w:rPr>
        <w:t>其中：</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(1)公务用车购置费年初预算0万元，支出决算0万元。</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(2)公务用车运行费</w:t>
      </w:r>
      <w:r>
        <w:rPr>
          <w:rFonts w:hint="eastAsia" w:eastAsia="仿宋_GB2312"/>
          <w:color w:val="000000"/>
          <w:sz w:val="32"/>
          <w:szCs w:val="32"/>
          <w:lang w:val="en-US" w:eastAsia="zh-CN"/>
        </w:rPr>
        <w:t>0</w:t>
      </w:r>
      <w:r>
        <w:rPr>
          <w:rFonts w:eastAsia="仿宋_GB2312"/>
          <w:color w:val="000000"/>
          <w:sz w:val="32"/>
          <w:szCs w:val="32"/>
        </w:rPr>
        <w:t>万元，完成年初预算的</w:t>
      </w:r>
      <w:r>
        <w:rPr>
          <w:rFonts w:hint="eastAsia" w:eastAsia="仿宋_GB2312"/>
          <w:color w:val="000000"/>
          <w:sz w:val="32"/>
          <w:szCs w:val="32"/>
          <w:lang w:val="en-US" w:eastAsia="zh-CN"/>
        </w:rPr>
        <w:t>0</w:t>
      </w:r>
      <w:r>
        <w:rPr>
          <w:rFonts w:eastAsia="仿宋_GB2312"/>
          <w:color w:val="000000"/>
          <w:sz w:val="32"/>
          <w:szCs w:val="32"/>
        </w:rPr>
        <w:t>%，比年初预算减少</w:t>
      </w:r>
      <w:r>
        <w:rPr>
          <w:rFonts w:hint="eastAsia" w:eastAsia="仿宋_GB2312"/>
          <w:color w:val="000000"/>
          <w:sz w:val="32"/>
          <w:szCs w:val="32"/>
          <w:lang w:val="en-US" w:eastAsia="zh-CN"/>
        </w:rPr>
        <w:t>0</w:t>
      </w:r>
      <w:r>
        <w:rPr>
          <w:rFonts w:eastAsia="仿宋_GB2312"/>
          <w:color w:val="000000"/>
          <w:sz w:val="32"/>
          <w:szCs w:val="32"/>
        </w:rPr>
        <w:t>万元，主要原因是公车改革后，压减一般性支出</w:t>
      </w:r>
      <w:r>
        <w:rPr>
          <w:rFonts w:eastAsia="仿宋_GB2312"/>
          <w:color w:val="000000"/>
          <w:kern w:val="0"/>
          <w:sz w:val="32"/>
          <w:szCs w:val="32"/>
        </w:rPr>
        <w:t>。</w:t>
      </w:r>
      <w:r>
        <w:rPr>
          <w:rFonts w:eastAsia="仿宋_GB2312"/>
          <w:color w:val="000000"/>
          <w:sz w:val="32"/>
          <w:szCs w:val="32"/>
        </w:rPr>
        <w:t>截止</w:t>
      </w:r>
      <w:r>
        <w:rPr>
          <w:rFonts w:hint="eastAsia" w:eastAsia="仿宋_GB2312"/>
          <w:color w:val="000000"/>
          <w:sz w:val="32"/>
          <w:szCs w:val="32"/>
        </w:rPr>
        <w:t>202</w:t>
      </w:r>
      <w:r>
        <w:rPr>
          <w:rFonts w:hint="eastAsia" w:eastAsia="仿宋_GB2312"/>
          <w:color w:val="000000"/>
          <w:sz w:val="32"/>
          <w:szCs w:val="32"/>
          <w:lang w:val="en-US" w:eastAsia="zh-CN"/>
        </w:rPr>
        <w:t>3</w:t>
      </w:r>
      <w:r>
        <w:rPr>
          <w:color w:val="000000"/>
          <w:sz w:val="32"/>
          <w:szCs w:val="32"/>
        </w:rPr>
        <w:t>年</w:t>
      </w:r>
      <w:r>
        <w:rPr>
          <w:rFonts w:eastAsia="仿宋_GB2312"/>
          <w:color w:val="000000"/>
          <w:sz w:val="32"/>
          <w:szCs w:val="32"/>
        </w:rPr>
        <w:t>12月31日，开支财政拨款的公务用车保有量</w:t>
      </w:r>
      <w:r>
        <w:rPr>
          <w:rFonts w:hint="eastAsia" w:eastAsia="仿宋_GB2312"/>
          <w:color w:val="000000"/>
          <w:sz w:val="32"/>
          <w:szCs w:val="32"/>
          <w:lang w:val="en-US" w:eastAsia="zh-CN"/>
        </w:rPr>
        <w:t>0</w:t>
      </w:r>
      <w:r>
        <w:rPr>
          <w:rFonts w:eastAsia="仿宋_GB2312"/>
          <w:color w:val="000000"/>
          <w:sz w:val="32"/>
          <w:szCs w:val="32"/>
        </w:rPr>
        <w:t>辆。</w:t>
      </w:r>
    </w:p>
    <w:p>
      <w:pPr>
        <w:adjustRightInd w:val="0"/>
        <w:snapToGrid w:val="0"/>
        <w:spacing w:line="560" w:lineRule="exact"/>
        <w:ind w:firstLine="640" w:firstLineChars="200"/>
        <w:rPr>
          <w:rFonts w:eastAsia="仿宋_GB2312"/>
          <w:color w:val="000000"/>
          <w:sz w:val="32"/>
          <w:szCs w:val="32"/>
        </w:rPr>
      </w:pPr>
      <w:r>
        <w:rPr>
          <w:rFonts w:eastAsia="仿宋_GB2312"/>
          <w:sz w:val="32"/>
          <w:szCs w:val="32"/>
        </w:rPr>
        <w:t>3.  公务接待费预算</w:t>
      </w:r>
      <w:r>
        <w:rPr>
          <w:rFonts w:hint="eastAsia" w:eastAsia="仿宋_GB2312"/>
          <w:color w:val="000000"/>
          <w:sz w:val="32"/>
          <w:szCs w:val="32"/>
          <w:lang w:val="en-US" w:eastAsia="zh-CN"/>
        </w:rPr>
        <w:t>0</w:t>
      </w:r>
      <w:r>
        <w:rPr>
          <w:rFonts w:eastAsia="仿宋_GB2312"/>
          <w:color w:val="000000"/>
          <w:sz w:val="32"/>
          <w:szCs w:val="32"/>
        </w:rPr>
        <w:t>万</w:t>
      </w:r>
      <w:r>
        <w:rPr>
          <w:rFonts w:eastAsia="仿宋_GB2312"/>
          <w:sz w:val="32"/>
          <w:szCs w:val="32"/>
        </w:rPr>
        <w:t>元，</w:t>
      </w:r>
      <w:r>
        <w:rPr>
          <w:rFonts w:eastAsia="仿宋_GB2312"/>
          <w:color w:val="000000"/>
          <w:sz w:val="32"/>
          <w:szCs w:val="32"/>
        </w:rPr>
        <w:t>支出决算为</w:t>
      </w:r>
      <w:r>
        <w:rPr>
          <w:rFonts w:hint="eastAsia" w:eastAsia="仿宋_GB2312"/>
          <w:color w:val="000000"/>
          <w:sz w:val="32"/>
          <w:szCs w:val="32"/>
          <w:lang w:val="en-US" w:eastAsia="zh-CN"/>
        </w:rPr>
        <w:t>0</w:t>
      </w:r>
      <w:r>
        <w:rPr>
          <w:rFonts w:eastAsia="仿宋_GB2312"/>
          <w:color w:val="000000"/>
          <w:sz w:val="32"/>
          <w:szCs w:val="32"/>
        </w:rPr>
        <w:t>万元，完成年初预算的</w:t>
      </w:r>
      <w:r>
        <w:rPr>
          <w:rFonts w:hint="eastAsia" w:eastAsia="仿宋_GB2312"/>
          <w:color w:val="000000"/>
          <w:sz w:val="32"/>
          <w:szCs w:val="32"/>
          <w:lang w:val="en-US" w:eastAsia="zh-CN"/>
        </w:rPr>
        <w:t>0</w:t>
      </w:r>
      <w:r>
        <w:rPr>
          <w:rFonts w:eastAsia="仿宋_GB2312"/>
          <w:color w:val="000000"/>
          <w:sz w:val="32"/>
          <w:szCs w:val="32"/>
        </w:rPr>
        <w:t>%，比年初预算减少</w:t>
      </w:r>
      <w:r>
        <w:rPr>
          <w:rFonts w:hint="eastAsia" w:eastAsia="仿宋_GB2312"/>
          <w:color w:val="000000"/>
          <w:sz w:val="32"/>
          <w:szCs w:val="32"/>
          <w:lang w:val="en-US" w:eastAsia="zh-CN"/>
        </w:rPr>
        <w:t>0</w:t>
      </w:r>
      <w:r>
        <w:rPr>
          <w:rFonts w:eastAsia="仿宋_GB2312"/>
          <w:color w:val="000000"/>
          <w:sz w:val="32"/>
          <w:szCs w:val="32"/>
        </w:rPr>
        <w:t>万元，</w:t>
      </w:r>
      <w:r>
        <w:rPr>
          <w:rFonts w:eastAsia="仿宋_GB2312"/>
          <w:sz w:val="32"/>
          <w:szCs w:val="32"/>
        </w:rPr>
        <w:t>较上年支出数减少</w:t>
      </w:r>
      <w:r>
        <w:rPr>
          <w:rFonts w:hint="eastAsia" w:eastAsia="仿宋_GB2312"/>
          <w:sz w:val="32"/>
          <w:szCs w:val="32"/>
          <w:lang w:val="en-US" w:eastAsia="zh-CN"/>
        </w:rPr>
        <w:t>0</w:t>
      </w:r>
      <w:r>
        <w:rPr>
          <w:rFonts w:eastAsia="仿宋_GB2312"/>
          <w:sz w:val="32"/>
          <w:szCs w:val="32"/>
        </w:rPr>
        <w:t>万元，</w:t>
      </w:r>
      <w:r>
        <w:rPr>
          <w:rFonts w:eastAsia="仿宋_GB2312"/>
          <w:color w:val="000000"/>
          <w:sz w:val="32"/>
          <w:szCs w:val="32"/>
        </w:rPr>
        <w:t>主要原因是</w:t>
      </w:r>
      <w:r>
        <w:rPr>
          <w:rFonts w:eastAsia="仿宋_GB2312"/>
          <w:sz w:val="32"/>
          <w:szCs w:val="32"/>
        </w:rPr>
        <w:t>落实中央八项规定及其实施细则，厉行勤俭节约，严格控制公务接待开支</w:t>
      </w:r>
      <w:r>
        <w:rPr>
          <w:rFonts w:eastAsia="仿宋_GB2312"/>
          <w:color w:val="000000"/>
          <w:sz w:val="32"/>
          <w:szCs w:val="32"/>
        </w:rPr>
        <w:t>。其中：</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外宾接待支出</w:t>
      </w:r>
      <w:r>
        <w:rPr>
          <w:rFonts w:hint="eastAsia" w:eastAsia="仿宋_GB2312"/>
          <w:color w:val="000000"/>
          <w:sz w:val="32"/>
          <w:szCs w:val="32"/>
        </w:rPr>
        <w:t>0</w:t>
      </w:r>
      <w:r>
        <w:rPr>
          <w:rFonts w:eastAsia="仿宋_GB2312"/>
          <w:color w:val="000000"/>
          <w:sz w:val="32"/>
          <w:szCs w:val="32"/>
        </w:rPr>
        <w:t>万元。</w:t>
      </w:r>
    </w:p>
    <w:p>
      <w:pPr>
        <w:adjustRightInd w:val="0"/>
        <w:snapToGrid w:val="0"/>
        <w:spacing w:line="560" w:lineRule="exact"/>
        <w:ind w:firstLine="640" w:firstLineChars="200"/>
        <w:rPr>
          <w:rFonts w:eastAsia="楷体_GB2312"/>
          <w:color w:val="000000"/>
          <w:kern w:val="0"/>
          <w:sz w:val="30"/>
          <w:szCs w:val="30"/>
          <w:lang w:bidi="ar"/>
        </w:rPr>
      </w:pPr>
      <w:r>
        <w:rPr>
          <w:rFonts w:eastAsia="仿宋_GB2312"/>
          <w:color w:val="000000"/>
          <w:sz w:val="32"/>
          <w:szCs w:val="32"/>
        </w:rPr>
        <w:t>国内公务接待支出</w:t>
      </w:r>
      <w:r>
        <w:rPr>
          <w:rFonts w:hint="eastAsia" w:eastAsia="仿宋_GB2312"/>
          <w:color w:val="000000"/>
          <w:sz w:val="32"/>
          <w:szCs w:val="32"/>
          <w:lang w:val="en-US" w:eastAsia="zh-CN"/>
        </w:rPr>
        <w:t>0</w:t>
      </w:r>
      <w:r>
        <w:rPr>
          <w:rFonts w:eastAsia="仿宋_GB2312"/>
          <w:color w:val="000000"/>
          <w:sz w:val="32"/>
          <w:szCs w:val="32"/>
        </w:rPr>
        <w:t>万元。</w:t>
      </w:r>
    </w:p>
    <w:p>
      <w:pPr>
        <w:jc w:val="center"/>
        <w:rPr>
          <w:rFonts w:eastAsia="楷体_GB2312"/>
          <w:color w:val="000000"/>
          <w:kern w:val="0"/>
          <w:sz w:val="30"/>
          <w:szCs w:val="30"/>
          <w:lang w:bidi="ar"/>
        </w:rPr>
      </w:pPr>
      <w:r>
        <w:rPr>
          <w:rFonts w:eastAsia="楷体_GB2312"/>
          <w:color w:val="000000"/>
          <w:kern w:val="0"/>
          <w:sz w:val="30"/>
          <w:szCs w:val="30"/>
          <w:lang w:bidi="ar"/>
        </w:rPr>
        <w:t>一般公共预算“三公”经费情况表（单位：万元）</w:t>
      </w:r>
    </w:p>
    <w:tbl>
      <w:tblPr>
        <w:tblStyle w:val="7"/>
        <w:tblW w:w="875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6"/>
        <w:gridCol w:w="1903"/>
        <w:gridCol w:w="21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Fonts w:eastAsia="仿宋"/>
                <w:color w:val="000000"/>
                <w:kern w:val="0"/>
                <w:sz w:val="24"/>
                <w:szCs w:val="24"/>
                <w:lang w:bidi="ar"/>
              </w:rPr>
              <w:t xml:space="preserve">项 </w:t>
            </w:r>
            <w:r>
              <w:rPr>
                <w:rStyle w:val="9"/>
                <w:rFonts w:hint="default" w:ascii="Times New Roman" w:hAnsi="Times New Roman" w:cs="Times New Roman"/>
                <w:lang w:bidi="ar"/>
              </w:rPr>
              <w:t xml:space="preserve"> 目</w:t>
            </w:r>
          </w:p>
        </w:tc>
        <w:tc>
          <w:tcPr>
            <w:tcW w:w="1903" w:type="dxa"/>
            <w:noWrap/>
            <w:vAlign w:val="center"/>
          </w:tcPr>
          <w:p>
            <w:pPr>
              <w:widowControl/>
              <w:jc w:val="left"/>
              <w:textAlignment w:val="center"/>
              <w:rPr>
                <w:rFonts w:eastAsia="仿宋"/>
                <w:color w:val="000000"/>
                <w:sz w:val="24"/>
                <w:szCs w:val="24"/>
              </w:rPr>
            </w:pPr>
            <w:r>
              <w:rPr>
                <w:rFonts w:eastAsia="仿宋"/>
                <w:color w:val="000000"/>
                <w:kern w:val="0"/>
                <w:sz w:val="24"/>
                <w:szCs w:val="24"/>
                <w:lang w:bidi="ar"/>
              </w:rPr>
              <w:t>预算数</w:t>
            </w:r>
          </w:p>
        </w:tc>
        <w:tc>
          <w:tcPr>
            <w:tcW w:w="2190" w:type="dxa"/>
            <w:noWrap/>
            <w:vAlign w:val="center"/>
          </w:tcPr>
          <w:p>
            <w:pPr>
              <w:widowControl/>
              <w:jc w:val="left"/>
              <w:textAlignment w:val="center"/>
              <w:rPr>
                <w:rFonts w:eastAsia="仿宋"/>
                <w:color w:val="000000"/>
                <w:sz w:val="24"/>
                <w:szCs w:val="24"/>
              </w:rPr>
            </w:pPr>
            <w:r>
              <w:rPr>
                <w:rFonts w:eastAsia="仿宋"/>
                <w:color w:val="000000"/>
                <w:kern w:val="0"/>
                <w:sz w:val="24"/>
                <w:szCs w:val="24"/>
                <w:lang w:bidi="ar"/>
              </w:rPr>
              <w:t>统计数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（一）支出合计</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hint="eastAsia" w:eastAsia="仿宋"/>
                <w:color w:val="000000"/>
                <w:sz w:val="24"/>
                <w:szCs w:val="24"/>
                <w:lang w:eastAsia="zh-CN"/>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1．因公出国（境）费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2．公务用车购置及运行维护费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hint="eastAsia" w:eastAsia="宋体"/>
                <w:color w:val="000000"/>
                <w:sz w:val="24"/>
                <w:szCs w:val="24"/>
                <w:lang w:val="en-US" w:eastAsia="zh-CN"/>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（1）公务用车购置费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（2）公务用车运行维护费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3．公务接待费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（1）国内接待费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其中：外事接待费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（2）国（境）外接待费</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（二）相关统计数</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1．因公出国（境）团组数（个）</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2．因公出国（境）人次数（人）</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3．公务用车购置数（辆）</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4．公务用车保有量（辆）</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5．国内公务接待批次（个）</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其中：外事接待批次（个）</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6．国内公务接待人次（人）</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其中：外事接待人次（人）</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color w:val="000000"/>
                <w:kern w:val="0"/>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7．国（境）外公务接待批次（个）</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eastAsia="仿宋"/>
                <w:color w:val="000000"/>
                <w:sz w:val="24"/>
                <w:szCs w:val="24"/>
              </w:rPr>
            </w:pPr>
            <w:r>
              <w:rPr>
                <w:rFonts w:hint="eastAsia" w:eastAsia="仿宋"/>
                <w:color w:val="000000"/>
                <w:kern w:val="0"/>
                <w:sz w:val="24"/>
                <w:szCs w:val="24"/>
                <w:lang w:eastAsia="zh-CN"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666" w:type="dxa"/>
            <w:noWrap/>
            <w:vAlign w:val="center"/>
          </w:tcPr>
          <w:p>
            <w:pPr>
              <w:widowControl/>
              <w:jc w:val="left"/>
              <w:textAlignment w:val="center"/>
              <w:rPr>
                <w:rFonts w:eastAsia="仿宋"/>
                <w:color w:val="000000"/>
                <w:sz w:val="24"/>
                <w:szCs w:val="24"/>
              </w:rPr>
            </w:pPr>
            <w:r>
              <w:rPr>
                <w:rStyle w:val="9"/>
                <w:rFonts w:hint="default" w:ascii="Times New Roman" w:hAnsi="Times New Roman" w:cs="Times New Roman"/>
                <w:lang w:bidi="ar"/>
              </w:rPr>
              <w:t>8．国（境）外公务接待人次（人）</w:t>
            </w:r>
          </w:p>
        </w:tc>
        <w:tc>
          <w:tcPr>
            <w:tcW w:w="1903" w:type="dxa"/>
            <w:noWrap/>
            <w:vAlign w:val="center"/>
          </w:tcPr>
          <w:p>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pPr>
              <w:widowControl/>
              <w:jc w:val="left"/>
              <w:textAlignment w:val="center"/>
              <w:rPr>
                <w:rFonts w:hint="default" w:eastAsia="仿宋"/>
                <w:color w:val="000000"/>
                <w:sz w:val="24"/>
                <w:szCs w:val="24"/>
                <w:lang w:val="en-US"/>
              </w:rPr>
            </w:pPr>
            <w:r>
              <w:rPr>
                <w:color w:val="000000"/>
                <w:kern w:val="0"/>
                <w:sz w:val="24"/>
                <w:szCs w:val="24"/>
                <w:lang w:bidi="ar"/>
              </w:rPr>
              <w:t>0</w:t>
            </w:r>
          </w:p>
        </w:tc>
      </w:tr>
    </w:tbl>
    <w:p>
      <w:pPr>
        <w:numPr>
          <w:ilvl w:val="0"/>
          <w:numId w:val="4"/>
        </w:numPr>
        <w:adjustRightInd w:val="0"/>
        <w:snapToGrid w:val="0"/>
        <w:spacing w:line="560" w:lineRule="exact"/>
        <w:ind w:firstLine="640" w:firstLineChars="200"/>
        <w:rPr>
          <w:rFonts w:eastAsia="黑体"/>
          <w:bCs/>
          <w:sz w:val="32"/>
          <w:szCs w:val="32"/>
        </w:rPr>
      </w:pPr>
      <w:r>
        <w:rPr>
          <w:rFonts w:eastAsia="黑体"/>
          <w:bCs/>
          <w:sz w:val="32"/>
          <w:szCs w:val="32"/>
        </w:rPr>
        <w:t>机关运行经费支出说明</w:t>
      </w:r>
    </w:p>
    <w:p>
      <w:pPr>
        <w:adjustRightInd w:val="0"/>
        <w:snapToGrid w:val="0"/>
        <w:spacing w:line="560" w:lineRule="exact"/>
        <w:ind w:firstLine="640" w:firstLineChars="200"/>
        <w:rPr>
          <w:rFonts w:eastAsia="仿宋_GB2312"/>
          <w:sz w:val="32"/>
          <w:szCs w:val="32"/>
        </w:rPr>
      </w:pPr>
      <w:r>
        <w:rPr>
          <w:rFonts w:hint="eastAsia" w:eastAsia="仿宋_GB2312"/>
          <w:sz w:val="32"/>
          <w:szCs w:val="32"/>
          <w:lang w:eastAsia="zh-CN"/>
        </w:rPr>
        <w:t>我站</w:t>
      </w:r>
      <w:r>
        <w:rPr>
          <w:rFonts w:eastAsia="仿宋_GB2312"/>
          <w:sz w:val="32"/>
          <w:szCs w:val="32"/>
        </w:rPr>
        <w:t>为财政定额补助拨款事业单位，故无机关运行经费拨款，机关运行费通过调剂定额补助支出结构保障，主要用于机关日常运转支出以及后勤服务发生的支出。主要包括</w:t>
      </w:r>
      <w:r>
        <w:rPr>
          <w:rFonts w:eastAsia="仿宋_GB2312"/>
          <w:bCs/>
          <w:kern w:val="44"/>
          <w:sz w:val="32"/>
          <w:szCs w:val="32"/>
        </w:rPr>
        <w:t>办公费、印刷费、咨询费、水费、电费、邮电费、物业管理费、维修(护)费、</w:t>
      </w:r>
      <w:r>
        <w:rPr>
          <w:rFonts w:hint="eastAsia" w:eastAsia="仿宋_GB2312"/>
          <w:bCs/>
          <w:kern w:val="44"/>
          <w:sz w:val="32"/>
          <w:szCs w:val="32"/>
        </w:rPr>
        <w:t>专用材料费、</w:t>
      </w:r>
      <w:r>
        <w:rPr>
          <w:rFonts w:eastAsia="仿宋_GB2312"/>
          <w:bCs/>
          <w:kern w:val="44"/>
          <w:sz w:val="32"/>
          <w:szCs w:val="32"/>
        </w:rPr>
        <w:t>劳务费、委托业务费、工会经费、其他交通费用、其他商品和服务支出、办公设备购置</w:t>
      </w:r>
      <w:r>
        <w:rPr>
          <w:rFonts w:eastAsia="仿宋_GB2312"/>
          <w:sz w:val="32"/>
          <w:szCs w:val="32"/>
        </w:rPr>
        <w:t>等内容。情况如下：</w:t>
      </w:r>
    </w:p>
    <w:tbl>
      <w:tblPr>
        <w:tblStyle w:val="7"/>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475"/>
        <w:gridCol w:w="3085"/>
        <w:gridCol w:w="1172"/>
        <w:gridCol w:w="928"/>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1468" w:type="dxa"/>
            <w:vMerge w:val="restart"/>
            <w:vAlign w:val="center"/>
          </w:tcPr>
          <w:p>
            <w:pPr>
              <w:widowControl/>
              <w:spacing w:line="360" w:lineRule="exact"/>
              <w:jc w:val="center"/>
              <w:textAlignment w:val="center"/>
              <w:rPr>
                <w:rFonts w:hint="eastAsia" w:eastAsia="仿宋"/>
                <w:b/>
                <w:bCs/>
                <w:color w:val="000000"/>
                <w:kern w:val="0"/>
                <w:sz w:val="24"/>
                <w:szCs w:val="24"/>
                <w:lang w:eastAsia="zh-CN" w:bidi="ar"/>
              </w:rPr>
            </w:pPr>
            <w:r>
              <w:rPr>
                <w:rFonts w:eastAsia="仿宋"/>
                <w:b/>
                <w:bCs/>
                <w:color w:val="000000"/>
                <w:kern w:val="0"/>
                <w:sz w:val="24"/>
                <w:szCs w:val="24"/>
                <w:lang w:bidi="ar"/>
              </w:rPr>
              <w:t>编制单位：</w:t>
            </w:r>
            <w:r>
              <w:rPr>
                <w:rFonts w:hint="eastAsia" w:eastAsia="仿宋"/>
                <w:b/>
                <w:bCs/>
                <w:color w:val="000000"/>
                <w:kern w:val="0"/>
                <w:sz w:val="24"/>
                <w:szCs w:val="24"/>
                <w:lang w:eastAsia="zh-CN" w:bidi="ar"/>
              </w:rPr>
              <w:t>湖北省农业科学院南湖试验站</w:t>
            </w:r>
          </w:p>
          <w:p>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（汇总）</w:t>
            </w:r>
          </w:p>
        </w:tc>
        <w:tc>
          <w:tcPr>
            <w:tcW w:w="1475" w:type="dxa"/>
            <w:vMerge w:val="restart"/>
            <w:vAlign w:val="center"/>
          </w:tcPr>
          <w:p>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项目</w:t>
            </w:r>
          </w:p>
        </w:tc>
        <w:tc>
          <w:tcPr>
            <w:tcW w:w="3085" w:type="dxa"/>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支出功能分类</w:t>
            </w:r>
          </w:p>
        </w:tc>
        <w:tc>
          <w:tcPr>
            <w:tcW w:w="2100" w:type="dxa"/>
            <w:gridSpan w:val="2"/>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类</w:t>
            </w:r>
          </w:p>
        </w:tc>
        <w:tc>
          <w:tcPr>
            <w:tcW w:w="1470" w:type="dxa"/>
            <w:vMerge w:val="restart"/>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2060401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科目编码</w:t>
            </w:r>
          </w:p>
        </w:tc>
        <w:tc>
          <w:tcPr>
            <w:tcW w:w="2100" w:type="dxa"/>
            <w:gridSpan w:val="2"/>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款</w:t>
            </w:r>
          </w:p>
        </w:tc>
        <w:tc>
          <w:tcPr>
            <w:tcW w:w="1470" w:type="dxa"/>
            <w:vMerge w:val="continue"/>
            <w:vAlign w:val="center"/>
          </w:tcPr>
          <w:p>
            <w:pPr>
              <w:spacing w:line="360" w:lineRule="exact"/>
              <w:jc w:val="center"/>
              <w:rPr>
                <w:rFonts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spacing w:line="360" w:lineRule="exact"/>
              <w:rPr>
                <w:rFonts w:eastAsia="仿宋"/>
                <w:sz w:val="24"/>
                <w:szCs w:val="24"/>
              </w:rPr>
            </w:pPr>
          </w:p>
        </w:tc>
        <w:tc>
          <w:tcPr>
            <w:tcW w:w="2100" w:type="dxa"/>
            <w:gridSpan w:val="2"/>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项</w:t>
            </w:r>
          </w:p>
        </w:tc>
        <w:tc>
          <w:tcPr>
            <w:tcW w:w="1470" w:type="dxa"/>
            <w:vMerge w:val="continue"/>
            <w:vAlign w:val="center"/>
          </w:tcPr>
          <w:p>
            <w:pPr>
              <w:spacing w:line="360" w:lineRule="exact"/>
              <w:jc w:val="center"/>
              <w:rPr>
                <w:rFonts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科目名称</w:t>
            </w:r>
          </w:p>
        </w:tc>
        <w:tc>
          <w:tcPr>
            <w:tcW w:w="1172" w:type="dxa"/>
            <w:vAlign w:val="center"/>
          </w:tcPr>
          <w:p>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栏次</w:t>
            </w:r>
          </w:p>
        </w:tc>
        <w:tc>
          <w:tcPr>
            <w:tcW w:w="928" w:type="dxa"/>
            <w:vAlign w:val="center"/>
          </w:tcPr>
          <w:p>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合计</w:t>
            </w:r>
          </w:p>
        </w:tc>
        <w:tc>
          <w:tcPr>
            <w:tcW w:w="1470" w:type="dxa"/>
            <w:vAlign w:val="center"/>
          </w:tcPr>
          <w:p>
            <w:pPr>
              <w:widowControl/>
              <w:spacing w:line="360" w:lineRule="exact"/>
              <w:jc w:val="center"/>
              <w:textAlignment w:val="center"/>
              <w:rPr>
                <w:rFonts w:eastAsia="仿宋"/>
                <w:sz w:val="24"/>
                <w:szCs w:val="24"/>
              </w:rPr>
            </w:pPr>
            <w:r>
              <w:rPr>
                <w:rFonts w:eastAsia="仿宋"/>
                <w:b/>
                <w:bCs/>
                <w:color w:val="000000"/>
                <w:kern w:val="0"/>
                <w:sz w:val="24"/>
                <w:szCs w:val="24"/>
                <w:lang w:bidi="ar"/>
              </w:rPr>
              <w:t>机构运行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restart"/>
            <w:vAlign w:val="center"/>
          </w:tcPr>
          <w:p>
            <w:pPr>
              <w:widowControl/>
              <w:spacing w:line="360" w:lineRule="exact"/>
              <w:jc w:val="center"/>
              <w:textAlignment w:val="center"/>
              <w:rPr>
                <w:rFonts w:hint="eastAsia" w:eastAsia="仿宋"/>
                <w:sz w:val="24"/>
                <w:szCs w:val="24"/>
                <w:lang w:eastAsia="zh-CN"/>
              </w:rPr>
            </w:pPr>
            <w:r>
              <w:rPr>
                <w:rFonts w:hint="eastAsia" w:eastAsia="仿宋"/>
                <w:color w:val="000000"/>
                <w:kern w:val="0"/>
                <w:sz w:val="24"/>
                <w:szCs w:val="24"/>
                <w:lang w:eastAsia="zh-CN" w:bidi="ar"/>
              </w:rPr>
              <w:t>湖北省农业科学院南湖试验站</w:t>
            </w:r>
          </w:p>
        </w:tc>
        <w:tc>
          <w:tcPr>
            <w:tcW w:w="1475" w:type="dxa"/>
            <w:vMerge w:val="restart"/>
            <w:vAlign w:val="center"/>
          </w:tcPr>
          <w:p>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12</w:t>
            </w:r>
          </w:p>
        </w:tc>
        <w:tc>
          <w:tcPr>
            <w:tcW w:w="928" w:type="dxa"/>
            <w:vAlign w:val="center"/>
          </w:tcPr>
          <w:p>
            <w:pPr>
              <w:spacing w:line="360" w:lineRule="exact"/>
              <w:jc w:val="center"/>
              <w:rPr>
                <w:rFonts w:eastAsia="仿宋"/>
                <w:color w:val="000000"/>
                <w:sz w:val="24"/>
                <w:szCs w:val="24"/>
              </w:rPr>
            </w:pPr>
          </w:p>
        </w:tc>
        <w:tc>
          <w:tcPr>
            <w:tcW w:w="1470" w:type="dxa"/>
            <w:vAlign w:val="center"/>
          </w:tcPr>
          <w:p>
            <w:pPr>
              <w:widowControl/>
              <w:jc w:val="center"/>
              <w:textAlignment w:val="center"/>
              <w:rPr>
                <w:rFonts w:hint="default" w:eastAsia="仿宋"/>
                <w:color w:val="000000"/>
                <w:sz w:val="24"/>
                <w:szCs w:val="24"/>
                <w:lang w:val="en-US" w:eastAsia="zh-CN"/>
              </w:rPr>
            </w:pPr>
            <w:r>
              <w:rPr>
                <w:rFonts w:hint="eastAsia" w:eastAsia="仿宋"/>
                <w:b/>
                <w:bCs/>
                <w:color w:val="000000"/>
                <w:kern w:val="0"/>
                <w:sz w:val="24"/>
                <w:szCs w:val="24"/>
                <w:lang w:val="en-US" w:eastAsia="zh-CN" w:bidi="ar"/>
              </w:rPr>
              <w:t>170.61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13</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印刷费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14</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咨询费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15</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hint="default" w:eastAsia="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手续费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16</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水费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17</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电费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18</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邮电费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19</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取暖费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20</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物业管理费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21</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差旅费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22</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eastAsia="仿宋"/>
                <w:color w:val="000000"/>
                <w:sz w:val="24"/>
                <w:szCs w:val="24"/>
              </w:rPr>
            </w:pPr>
            <w:r>
              <w:rPr>
                <w:rFonts w:hint="eastAsia" w:ascii="宋体" w:hAnsi="宋体" w:eastAsia="宋体" w:cs="宋体"/>
                <w:i w:val="0"/>
                <w:color w:val="000000"/>
                <w:kern w:val="0"/>
                <w:sz w:val="22"/>
                <w:szCs w:val="22"/>
                <w:u w:val="none"/>
                <w:lang w:val="en-US" w:eastAsia="zh-CN" w:bidi="ar"/>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因公出国（境）费用</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23</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维修（护）费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24</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37.25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租赁费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25</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restart"/>
            <w:vAlign w:val="center"/>
          </w:tcPr>
          <w:p>
            <w:pPr>
              <w:widowControl/>
              <w:spacing w:line="360" w:lineRule="exact"/>
              <w:jc w:val="center"/>
              <w:textAlignment w:val="center"/>
              <w:rPr>
                <w:rFonts w:hint="eastAsia" w:eastAsia="仿宋"/>
                <w:sz w:val="24"/>
                <w:szCs w:val="24"/>
                <w:lang w:eastAsia="zh-CN"/>
              </w:rPr>
            </w:pPr>
            <w:r>
              <w:rPr>
                <w:rFonts w:hint="eastAsia" w:eastAsia="仿宋"/>
                <w:color w:val="000000"/>
                <w:kern w:val="0"/>
                <w:sz w:val="24"/>
                <w:szCs w:val="24"/>
                <w:lang w:eastAsia="zh-CN" w:bidi="ar"/>
              </w:rPr>
              <w:t>湖北省农业科学院南湖试验站</w:t>
            </w:r>
          </w:p>
        </w:tc>
        <w:tc>
          <w:tcPr>
            <w:tcW w:w="1475" w:type="dxa"/>
            <w:vMerge w:val="restart"/>
            <w:vAlign w:val="center"/>
          </w:tcPr>
          <w:p>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会议费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26</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培训费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27</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eastAsia" w:eastAsia="仿宋"/>
                <w:color w:val="000000"/>
                <w:sz w:val="24"/>
                <w:szCs w:val="24"/>
                <w:lang w:eastAsia="zh-CN"/>
              </w:rPr>
            </w:pPr>
            <w:r>
              <w:rPr>
                <w:rFonts w:hint="eastAsia" w:ascii="宋体" w:hAnsi="宋体" w:eastAsia="宋体" w:cs="宋体"/>
                <w:i w:val="0"/>
                <w:color w:val="000000"/>
                <w:kern w:val="0"/>
                <w:sz w:val="22"/>
                <w:szCs w:val="22"/>
                <w:u w:val="none"/>
                <w:lang w:val="en-US" w:eastAsia="zh-CN" w:bidi="ar"/>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公务接待费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28</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专用材料费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29</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被装购置费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30</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专用燃料费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31</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劳务费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32</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委托业务费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33</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25.76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工会经费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34</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34.67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福利费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35</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公务用车运行维护费</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36</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hint="eastAsia" w:eastAsia="仿宋"/>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其他交通费用</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37</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税金及附加费用</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38</w:t>
            </w:r>
          </w:p>
        </w:tc>
        <w:tc>
          <w:tcPr>
            <w:tcW w:w="928" w:type="dxa"/>
            <w:vAlign w:val="center"/>
          </w:tcPr>
          <w:p>
            <w:pPr>
              <w:spacing w:line="360" w:lineRule="exact"/>
              <w:jc w:val="center"/>
              <w:rPr>
                <w:rFonts w:eastAsia="仿宋"/>
                <w:color w:val="000000"/>
                <w:sz w:val="24"/>
                <w:szCs w:val="24"/>
              </w:rPr>
            </w:pPr>
          </w:p>
        </w:tc>
        <w:tc>
          <w:tcPr>
            <w:tcW w:w="1470" w:type="dxa"/>
            <w:vAlign w:val="center"/>
          </w:tcPr>
          <w:p>
            <w:pPr>
              <w:jc w:val="right"/>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其他商品和服务支出</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39</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restart"/>
            <w:vAlign w:val="center"/>
          </w:tcPr>
          <w:p>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vAlign w:val="center"/>
          </w:tcPr>
          <w:p>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小计</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68</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center"/>
              <w:textAlignment w:val="center"/>
              <w:rPr>
                <w:rFonts w:hint="default" w:eastAsia="宋体"/>
                <w:b/>
                <w:bCs/>
                <w:color w:val="000000"/>
                <w:sz w:val="24"/>
                <w:szCs w:val="24"/>
                <w:lang w:val="en-US" w:eastAsia="zh-CN"/>
              </w:rPr>
            </w:pPr>
            <w:r>
              <w:rPr>
                <w:rFonts w:hint="eastAsia" w:ascii="宋体" w:hAnsi="宋体" w:eastAsia="宋体" w:cs="宋体"/>
                <w:b/>
                <w:bCs/>
                <w:i w:val="0"/>
                <w:color w:val="000000"/>
                <w:kern w:val="0"/>
                <w:sz w:val="22"/>
                <w:szCs w:val="22"/>
                <w:u w:val="none"/>
                <w:lang w:val="en-US" w:eastAsia="zh-CN" w:bidi="ar"/>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房屋建筑物购建</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69</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办公设备购置</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70</w:t>
            </w:r>
          </w:p>
        </w:tc>
        <w:tc>
          <w:tcPr>
            <w:tcW w:w="928" w:type="dxa"/>
            <w:vAlign w:val="center"/>
          </w:tcPr>
          <w:p>
            <w:pPr>
              <w:spacing w:line="360" w:lineRule="exact"/>
              <w:jc w:val="center"/>
              <w:rPr>
                <w:rFonts w:eastAsia="仿宋"/>
                <w:color w:val="000000"/>
                <w:sz w:val="24"/>
                <w:szCs w:val="24"/>
              </w:rPr>
            </w:pPr>
          </w:p>
        </w:tc>
        <w:tc>
          <w:tcPr>
            <w:tcW w:w="1470" w:type="dxa"/>
            <w:vAlign w:val="center"/>
          </w:tcPr>
          <w:p>
            <w:pPr>
              <w:keepNext w:val="0"/>
              <w:keepLines w:val="0"/>
              <w:widowControl/>
              <w:suppressLineNumbers w:val="0"/>
              <w:jc w:val="right"/>
              <w:textAlignment w:val="center"/>
              <w:rPr>
                <w:rFonts w:hint="default" w:eastAsia="仿宋"/>
                <w:color w:val="000000"/>
                <w:sz w:val="24"/>
                <w:szCs w:val="24"/>
                <w:lang w:val="en-US" w:eastAsia="zh-CN"/>
              </w:rPr>
            </w:pPr>
            <w:r>
              <w:rPr>
                <w:rFonts w:hint="eastAsia" w:ascii="宋体" w:hAnsi="宋体" w:eastAsia="宋体" w:cs="宋体"/>
                <w:i w:val="0"/>
                <w:color w:val="000000"/>
                <w:kern w:val="0"/>
                <w:sz w:val="22"/>
                <w:szCs w:val="22"/>
                <w:u w:val="none"/>
                <w:lang w:val="en-US" w:eastAsia="zh-CN" w:bidi="ar"/>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专用设备购置</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71</w:t>
            </w:r>
          </w:p>
        </w:tc>
        <w:tc>
          <w:tcPr>
            <w:tcW w:w="928" w:type="dxa"/>
            <w:vAlign w:val="center"/>
          </w:tcPr>
          <w:p>
            <w:pPr>
              <w:spacing w:line="360" w:lineRule="exact"/>
              <w:jc w:val="center"/>
              <w:rPr>
                <w:rFonts w:eastAsia="仿宋"/>
                <w:color w:val="000000"/>
                <w:sz w:val="24"/>
                <w:szCs w:val="24"/>
              </w:rPr>
            </w:pPr>
          </w:p>
        </w:tc>
        <w:tc>
          <w:tcPr>
            <w:tcW w:w="1470" w:type="dxa"/>
            <w:vAlign w:val="center"/>
          </w:tcPr>
          <w:p>
            <w:pPr>
              <w:widowControl/>
              <w:jc w:val="center"/>
              <w:textAlignment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基础设施建设</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72</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大型修缮</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73</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信息网络及软件购置更新</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74</w:t>
            </w:r>
          </w:p>
        </w:tc>
        <w:tc>
          <w:tcPr>
            <w:tcW w:w="928" w:type="dxa"/>
            <w:vAlign w:val="center"/>
          </w:tcPr>
          <w:p>
            <w:pPr>
              <w:spacing w:line="360" w:lineRule="exact"/>
              <w:jc w:val="center"/>
              <w:rPr>
                <w:rFonts w:eastAsia="仿宋"/>
                <w:color w:val="000000"/>
                <w:sz w:val="24"/>
                <w:szCs w:val="24"/>
              </w:rPr>
            </w:pPr>
          </w:p>
        </w:tc>
        <w:tc>
          <w:tcPr>
            <w:tcW w:w="1470" w:type="dxa"/>
            <w:vAlign w:val="center"/>
          </w:tcPr>
          <w:p>
            <w:pPr>
              <w:widowControl/>
              <w:spacing w:line="360" w:lineRule="exact"/>
              <w:jc w:val="center"/>
              <w:textAlignment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物资储备</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75</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土地补偿</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76</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restart"/>
            <w:vAlign w:val="center"/>
          </w:tcPr>
          <w:p>
            <w:pPr>
              <w:widowControl/>
              <w:spacing w:line="360" w:lineRule="exact"/>
              <w:jc w:val="center"/>
              <w:textAlignment w:val="center"/>
              <w:rPr>
                <w:rFonts w:hint="eastAsia" w:eastAsia="仿宋"/>
                <w:sz w:val="24"/>
                <w:szCs w:val="24"/>
                <w:lang w:eastAsia="zh-CN"/>
              </w:rPr>
            </w:pPr>
            <w:r>
              <w:rPr>
                <w:rFonts w:hint="eastAsia" w:eastAsia="仿宋"/>
                <w:color w:val="000000"/>
                <w:kern w:val="0"/>
                <w:sz w:val="24"/>
                <w:szCs w:val="24"/>
                <w:lang w:eastAsia="zh-CN" w:bidi="ar"/>
              </w:rPr>
              <w:t>湖北省农业科学院南湖试验站</w:t>
            </w:r>
          </w:p>
        </w:tc>
        <w:tc>
          <w:tcPr>
            <w:tcW w:w="1475" w:type="dxa"/>
            <w:vMerge w:val="restart"/>
            <w:vAlign w:val="center"/>
          </w:tcPr>
          <w:p>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安置补助</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77</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地上附着物和青苗补偿</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78</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拆迁补偿</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79</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公务用车购置</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80</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其他交通工具购置</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81</w:t>
            </w:r>
          </w:p>
        </w:tc>
        <w:tc>
          <w:tcPr>
            <w:tcW w:w="928" w:type="dxa"/>
            <w:vAlign w:val="center"/>
          </w:tcPr>
          <w:p>
            <w:pPr>
              <w:spacing w:line="360" w:lineRule="exact"/>
              <w:jc w:val="center"/>
              <w:rPr>
                <w:rFonts w:eastAsia="仿宋"/>
                <w:color w:val="000000"/>
                <w:sz w:val="24"/>
                <w:szCs w:val="24"/>
              </w:rPr>
            </w:pPr>
          </w:p>
        </w:tc>
        <w:tc>
          <w:tcPr>
            <w:tcW w:w="1470" w:type="dxa"/>
            <w:vAlign w:val="center"/>
          </w:tcPr>
          <w:p>
            <w:pPr>
              <w:spacing w:line="360" w:lineRule="exact"/>
              <w:jc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无形资产购置</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82</w:t>
            </w:r>
          </w:p>
        </w:tc>
        <w:tc>
          <w:tcPr>
            <w:tcW w:w="928" w:type="dxa"/>
            <w:vAlign w:val="center"/>
          </w:tcPr>
          <w:p>
            <w:pPr>
              <w:spacing w:line="360" w:lineRule="exact"/>
              <w:jc w:val="center"/>
              <w:rPr>
                <w:rFonts w:eastAsia="仿宋"/>
                <w:color w:val="000000"/>
                <w:sz w:val="24"/>
                <w:szCs w:val="24"/>
              </w:rPr>
            </w:pPr>
          </w:p>
        </w:tc>
        <w:tc>
          <w:tcPr>
            <w:tcW w:w="1470" w:type="dxa"/>
            <w:vAlign w:val="center"/>
          </w:tcPr>
          <w:p>
            <w:pPr>
              <w:widowControl/>
              <w:jc w:val="both"/>
              <w:textAlignment w:val="center"/>
              <w:rPr>
                <w:rFonts w:hint="eastAsia" w:eastAsia="仿宋"/>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468" w:type="dxa"/>
            <w:vMerge w:val="continue"/>
            <w:vAlign w:val="center"/>
          </w:tcPr>
          <w:p>
            <w:pPr>
              <w:spacing w:line="360" w:lineRule="exact"/>
              <w:jc w:val="center"/>
              <w:rPr>
                <w:rFonts w:eastAsia="仿宋"/>
                <w:sz w:val="24"/>
                <w:szCs w:val="24"/>
              </w:rPr>
            </w:pPr>
          </w:p>
        </w:tc>
        <w:tc>
          <w:tcPr>
            <w:tcW w:w="1475" w:type="dxa"/>
            <w:vMerge w:val="continue"/>
            <w:vAlign w:val="center"/>
          </w:tcPr>
          <w:p>
            <w:pPr>
              <w:spacing w:line="360" w:lineRule="exact"/>
              <w:jc w:val="center"/>
              <w:rPr>
                <w:rFonts w:eastAsia="仿宋"/>
                <w:sz w:val="24"/>
                <w:szCs w:val="24"/>
              </w:rPr>
            </w:pPr>
          </w:p>
        </w:tc>
        <w:tc>
          <w:tcPr>
            <w:tcW w:w="3085"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其他资本性支出</w:t>
            </w:r>
          </w:p>
        </w:tc>
        <w:tc>
          <w:tcPr>
            <w:tcW w:w="1172" w:type="dxa"/>
            <w:vAlign w:val="center"/>
          </w:tcPr>
          <w:p>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83</w:t>
            </w:r>
          </w:p>
        </w:tc>
        <w:tc>
          <w:tcPr>
            <w:tcW w:w="928" w:type="dxa"/>
            <w:vAlign w:val="center"/>
          </w:tcPr>
          <w:p>
            <w:pPr>
              <w:spacing w:line="360" w:lineRule="exact"/>
              <w:jc w:val="center"/>
              <w:rPr>
                <w:rFonts w:eastAsia="仿宋"/>
                <w:color w:val="000000"/>
                <w:sz w:val="24"/>
                <w:szCs w:val="24"/>
              </w:rPr>
            </w:pPr>
          </w:p>
        </w:tc>
        <w:tc>
          <w:tcPr>
            <w:tcW w:w="1470" w:type="dxa"/>
            <w:vAlign w:val="center"/>
          </w:tcPr>
          <w:p>
            <w:pPr>
              <w:widowControl/>
              <w:jc w:val="center"/>
              <w:textAlignment w:val="center"/>
              <w:rPr>
                <w:rFonts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8128" w:type="dxa"/>
            <w:gridSpan w:val="5"/>
            <w:vAlign w:val="bottom"/>
          </w:tcPr>
          <w:p>
            <w:pPr>
              <w:widowControl/>
              <w:spacing w:line="360" w:lineRule="exact"/>
              <w:jc w:val="center"/>
              <w:textAlignment w:val="bottom"/>
              <w:rPr>
                <w:rFonts w:eastAsia="仿宋"/>
                <w:color w:val="000000"/>
                <w:sz w:val="24"/>
                <w:szCs w:val="24"/>
              </w:rPr>
            </w:pPr>
            <w:r>
              <w:rPr>
                <w:rFonts w:eastAsia="仿宋"/>
                <w:color w:val="000000"/>
                <w:kern w:val="0"/>
                <w:sz w:val="24"/>
                <w:szCs w:val="24"/>
                <w:lang w:bidi="ar"/>
              </w:rPr>
              <w:t>总计</w:t>
            </w:r>
          </w:p>
        </w:tc>
        <w:tc>
          <w:tcPr>
            <w:tcW w:w="1470" w:type="dxa"/>
            <w:vAlign w:val="bottom"/>
          </w:tcPr>
          <w:p>
            <w:pPr>
              <w:widowControl/>
              <w:spacing w:line="360" w:lineRule="exact"/>
              <w:jc w:val="center"/>
              <w:textAlignment w:val="bottom"/>
              <w:rPr>
                <w:rFonts w:hint="default" w:eastAsia="仿宋"/>
                <w:color w:val="000000"/>
                <w:sz w:val="24"/>
                <w:szCs w:val="24"/>
                <w:lang w:val="en-US" w:eastAsia="zh-CN"/>
              </w:rPr>
            </w:pPr>
            <w:r>
              <w:rPr>
                <w:rFonts w:hint="eastAsia" w:eastAsia="仿宋"/>
                <w:b/>
                <w:bCs/>
                <w:color w:val="000000"/>
                <w:kern w:val="0"/>
                <w:sz w:val="24"/>
                <w:szCs w:val="24"/>
                <w:lang w:val="en-US" w:eastAsia="zh-CN" w:bidi="ar"/>
              </w:rPr>
              <w:t>180.35</w:t>
            </w:r>
          </w:p>
        </w:tc>
      </w:tr>
    </w:tbl>
    <w:p>
      <w:pPr>
        <w:spacing w:line="600" w:lineRule="exact"/>
        <w:ind w:firstLine="640" w:firstLineChars="200"/>
        <w:rPr>
          <w:rFonts w:hint="eastAsia" w:eastAsia="仿宋_GB2312"/>
          <w:sz w:val="32"/>
          <w:szCs w:val="32"/>
          <w:lang w:eastAsia="zh-CN"/>
        </w:rPr>
      </w:pPr>
      <w:r>
        <w:rPr>
          <w:rFonts w:eastAsia="仿宋_GB2312"/>
          <w:sz w:val="32"/>
          <w:szCs w:val="32"/>
        </w:rPr>
        <w:t>比</w:t>
      </w:r>
      <w:r>
        <w:rPr>
          <w:rFonts w:hint="eastAsia" w:eastAsia="仿宋_GB2312"/>
          <w:sz w:val="32"/>
          <w:szCs w:val="32"/>
          <w:highlight w:val="none"/>
        </w:rPr>
        <w:t>202</w:t>
      </w:r>
      <w:r>
        <w:rPr>
          <w:rFonts w:hint="eastAsia" w:eastAsia="仿宋_GB2312"/>
          <w:sz w:val="32"/>
          <w:szCs w:val="32"/>
          <w:highlight w:val="none"/>
          <w:lang w:val="en-US" w:eastAsia="zh-CN"/>
        </w:rPr>
        <w:t>2</w:t>
      </w:r>
      <w:r>
        <w:rPr>
          <w:rFonts w:eastAsia="仿宋_GB2312"/>
          <w:sz w:val="32"/>
          <w:szCs w:val="32"/>
          <w:highlight w:val="none"/>
        </w:rPr>
        <w:t>年决算</w:t>
      </w:r>
      <w:r>
        <w:rPr>
          <w:rFonts w:hint="eastAsia" w:eastAsia="仿宋"/>
          <w:color w:val="000000"/>
          <w:kern w:val="0"/>
          <w:sz w:val="32"/>
          <w:szCs w:val="32"/>
          <w:highlight w:val="none"/>
          <w:lang w:val="en-US" w:eastAsia="zh-CN" w:bidi="ar"/>
        </w:rPr>
        <w:t>443.25</w:t>
      </w:r>
      <w:r>
        <w:rPr>
          <w:rFonts w:eastAsia="仿宋_GB2312"/>
          <w:sz w:val="32"/>
          <w:szCs w:val="32"/>
          <w:highlight w:val="none"/>
        </w:rPr>
        <w:t>万元，</w:t>
      </w:r>
      <w:r>
        <w:rPr>
          <w:rFonts w:hint="eastAsia" w:eastAsia="仿宋_GB2312"/>
          <w:sz w:val="32"/>
          <w:szCs w:val="32"/>
          <w:highlight w:val="none"/>
          <w:lang w:val="en-US" w:eastAsia="zh-CN"/>
        </w:rPr>
        <w:t>减少262.9</w:t>
      </w:r>
      <w:r>
        <w:rPr>
          <w:rFonts w:eastAsia="仿宋_GB2312"/>
          <w:sz w:val="32"/>
          <w:szCs w:val="32"/>
          <w:highlight w:val="none"/>
        </w:rPr>
        <w:t>万元。主要</w:t>
      </w:r>
      <w:r>
        <w:rPr>
          <w:rFonts w:hint="eastAsia" w:eastAsia="仿宋_GB2312"/>
          <w:sz w:val="32"/>
          <w:szCs w:val="32"/>
          <w:highlight w:val="none"/>
          <w:lang w:val="en-US" w:eastAsia="zh-CN"/>
        </w:rPr>
        <w:t>减少</w:t>
      </w:r>
      <w:r>
        <w:rPr>
          <w:rFonts w:eastAsia="仿宋_GB2312"/>
          <w:sz w:val="32"/>
          <w:szCs w:val="32"/>
          <w:highlight w:val="none"/>
        </w:rPr>
        <w:t>内容为：</w:t>
      </w:r>
      <w:r>
        <w:rPr>
          <w:rFonts w:hint="eastAsia" w:eastAsia="仿宋_GB2312"/>
          <w:bCs/>
          <w:kern w:val="44"/>
          <w:sz w:val="32"/>
          <w:szCs w:val="32"/>
          <w:lang w:val="en-US" w:eastAsia="zh-CN"/>
        </w:rPr>
        <w:t>新旧财务软件衔接中科目调整</w:t>
      </w:r>
      <w:r>
        <w:rPr>
          <w:rFonts w:eastAsia="仿宋_GB2312"/>
          <w:sz w:val="32"/>
          <w:szCs w:val="32"/>
        </w:rPr>
        <w:t>。需要说明的是</w:t>
      </w:r>
      <w:r>
        <w:rPr>
          <w:rFonts w:hint="eastAsia" w:eastAsia="仿宋_GB2312"/>
          <w:sz w:val="32"/>
          <w:szCs w:val="32"/>
          <w:lang w:eastAsia="zh-CN"/>
        </w:rPr>
        <w:t>我站</w:t>
      </w:r>
      <w:r>
        <w:rPr>
          <w:rFonts w:eastAsia="仿宋_GB2312"/>
          <w:sz w:val="32"/>
          <w:szCs w:val="32"/>
        </w:rPr>
        <w:t>为农业科研事业单位，机关运转支出不同于行政机关</w:t>
      </w:r>
      <w:r>
        <w:rPr>
          <w:rFonts w:hint="eastAsia" w:eastAsia="仿宋_GB2312"/>
          <w:sz w:val="32"/>
          <w:szCs w:val="32"/>
          <w:lang w:eastAsia="zh-CN"/>
        </w:rPr>
        <w:t>。</w:t>
      </w:r>
    </w:p>
    <w:p>
      <w:pPr>
        <w:numPr>
          <w:ilvl w:val="0"/>
          <w:numId w:val="4"/>
        </w:numPr>
        <w:adjustRightInd w:val="0"/>
        <w:snapToGrid w:val="0"/>
        <w:spacing w:line="560" w:lineRule="exact"/>
        <w:ind w:firstLine="640" w:firstLineChars="200"/>
        <w:rPr>
          <w:rFonts w:eastAsia="黑体"/>
          <w:bCs/>
          <w:sz w:val="32"/>
          <w:szCs w:val="32"/>
        </w:rPr>
      </w:pPr>
      <w:r>
        <w:rPr>
          <w:rFonts w:eastAsia="黑体"/>
          <w:bCs/>
          <w:sz w:val="32"/>
          <w:szCs w:val="32"/>
        </w:rPr>
        <w:t>政府采购支出说明</w:t>
      </w:r>
    </w:p>
    <w:p>
      <w:pPr>
        <w:spacing w:line="560" w:lineRule="exact"/>
        <w:ind w:firstLine="640" w:firstLineChars="200"/>
        <w:rPr>
          <w:rFonts w:eastAsia="仿宋_GB2312"/>
          <w:sz w:val="32"/>
          <w:szCs w:val="32"/>
          <w:highlight w:val="yellow"/>
        </w:rPr>
      </w:pPr>
      <w:r>
        <w:rPr>
          <w:rFonts w:hint="eastAsia" w:eastAsia="仿宋_GB2312"/>
          <w:sz w:val="32"/>
          <w:szCs w:val="32"/>
          <w:lang w:eastAsia="zh-CN"/>
        </w:rPr>
        <w:t>我站</w:t>
      </w:r>
      <w:r>
        <w:rPr>
          <w:rFonts w:eastAsia="仿宋_GB2312"/>
          <w:sz w:val="32"/>
          <w:szCs w:val="32"/>
        </w:rPr>
        <w:t>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抓政策落实，推进资产管理规范，一是加强业务培训和政策宣传，规范全院资产管理行为；二是履行国有资产处置</w:t>
      </w:r>
      <w:r>
        <w:rPr>
          <w:rFonts w:eastAsia="仿宋_GB2312"/>
          <w:sz w:val="32"/>
          <w:szCs w:val="32"/>
          <w:highlight w:val="none"/>
        </w:rPr>
        <w:t>程序；三是接受政府采购检查，督促整改，促进全院政府采购工作的不断完善。</w:t>
      </w:r>
    </w:p>
    <w:p>
      <w:pPr>
        <w:spacing w:line="560"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lang w:eastAsia="zh-CN"/>
        </w:rPr>
        <w:t>我站</w:t>
      </w:r>
      <w:r>
        <w:rPr>
          <w:rFonts w:eastAsia="仿宋_GB2312"/>
          <w:sz w:val="32"/>
          <w:szCs w:val="32"/>
        </w:rPr>
        <w:t>政府采购总支出总额</w:t>
      </w:r>
      <w:r>
        <w:rPr>
          <w:rFonts w:hint="eastAsia" w:eastAsia="仿宋_GB2312"/>
          <w:sz w:val="32"/>
          <w:szCs w:val="32"/>
          <w:lang w:val="en-US" w:eastAsia="zh-CN"/>
        </w:rPr>
        <w:t>241.11</w:t>
      </w:r>
      <w:r>
        <w:rPr>
          <w:rFonts w:eastAsia="仿宋_GB2312"/>
          <w:sz w:val="32"/>
          <w:szCs w:val="32"/>
        </w:rPr>
        <w:t>万元，其中：政府采购货物支出</w:t>
      </w:r>
      <w:r>
        <w:rPr>
          <w:rFonts w:hint="eastAsia" w:eastAsia="仿宋_GB2312"/>
          <w:sz w:val="32"/>
          <w:szCs w:val="32"/>
          <w:lang w:val="en-US" w:eastAsia="zh-CN"/>
        </w:rPr>
        <w:t>3.68</w:t>
      </w:r>
      <w:r>
        <w:rPr>
          <w:rFonts w:eastAsia="仿宋_GB2312"/>
          <w:sz w:val="32"/>
          <w:szCs w:val="32"/>
        </w:rPr>
        <w:t>万元、政府采购工程支出</w:t>
      </w:r>
      <w:r>
        <w:rPr>
          <w:rFonts w:hint="eastAsia" w:eastAsia="仿宋_GB2312"/>
          <w:sz w:val="32"/>
          <w:szCs w:val="32"/>
          <w:lang w:val="en-US" w:eastAsia="zh-CN"/>
        </w:rPr>
        <w:t>104.65</w:t>
      </w:r>
      <w:r>
        <w:rPr>
          <w:rFonts w:eastAsia="仿宋_GB2312"/>
          <w:sz w:val="32"/>
          <w:szCs w:val="32"/>
        </w:rPr>
        <w:t>万元、政府采购服务支出</w:t>
      </w:r>
      <w:r>
        <w:rPr>
          <w:rFonts w:hint="eastAsia" w:eastAsia="仿宋_GB2312"/>
          <w:sz w:val="32"/>
          <w:szCs w:val="32"/>
          <w:lang w:val="en-US" w:eastAsia="zh-CN"/>
        </w:rPr>
        <w:t>132.78</w:t>
      </w:r>
      <w:r>
        <w:rPr>
          <w:rFonts w:eastAsia="仿宋_GB2312"/>
          <w:sz w:val="32"/>
          <w:szCs w:val="32"/>
        </w:rPr>
        <w:t>万元。政府采购授予中小企业合同金额</w:t>
      </w:r>
      <w:r>
        <w:rPr>
          <w:rFonts w:hint="eastAsia" w:eastAsia="仿宋_GB2312"/>
          <w:sz w:val="32"/>
          <w:szCs w:val="32"/>
          <w:lang w:val="en-US" w:eastAsia="zh-CN"/>
        </w:rPr>
        <w:t>241.11</w:t>
      </w:r>
      <w:r>
        <w:rPr>
          <w:rFonts w:eastAsia="仿宋_GB2312"/>
          <w:sz w:val="32"/>
          <w:szCs w:val="32"/>
        </w:rPr>
        <w:t>万元，占政府采购支出总额的</w:t>
      </w:r>
      <w:r>
        <w:rPr>
          <w:rFonts w:hint="eastAsia" w:eastAsia="仿宋_GB2312"/>
          <w:sz w:val="32"/>
          <w:szCs w:val="32"/>
          <w:lang w:val="en-US" w:eastAsia="zh-CN"/>
        </w:rPr>
        <w:t>100</w:t>
      </w:r>
      <w:r>
        <w:rPr>
          <w:rFonts w:eastAsia="仿宋_GB2312"/>
          <w:sz w:val="32"/>
          <w:szCs w:val="32"/>
        </w:rPr>
        <w:t>%，其中：授予小微企业合同金额</w:t>
      </w:r>
      <w:r>
        <w:rPr>
          <w:rFonts w:hint="eastAsia" w:eastAsia="仿宋_GB2312"/>
          <w:sz w:val="32"/>
          <w:szCs w:val="32"/>
          <w:lang w:val="en-US" w:eastAsia="zh-CN"/>
        </w:rPr>
        <w:t>241.11</w:t>
      </w:r>
      <w:r>
        <w:rPr>
          <w:rFonts w:eastAsia="仿宋_GB2312"/>
          <w:sz w:val="32"/>
          <w:szCs w:val="32"/>
        </w:rPr>
        <w:t>万元，占政府采购支出总额的</w:t>
      </w:r>
      <w:r>
        <w:rPr>
          <w:rFonts w:hint="eastAsia" w:eastAsia="仿宋_GB2312"/>
          <w:sz w:val="32"/>
          <w:szCs w:val="32"/>
          <w:lang w:val="en-US" w:eastAsia="zh-CN"/>
        </w:rPr>
        <w:t>100</w:t>
      </w:r>
      <w:r>
        <w:rPr>
          <w:rFonts w:eastAsia="仿宋_GB2312"/>
          <w:sz w:val="32"/>
          <w:szCs w:val="32"/>
        </w:rPr>
        <w:t>%。</w:t>
      </w:r>
    </w:p>
    <w:p>
      <w:pPr>
        <w:numPr>
          <w:ilvl w:val="0"/>
          <w:numId w:val="4"/>
        </w:numPr>
        <w:adjustRightInd w:val="0"/>
        <w:snapToGrid w:val="0"/>
        <w:spacing w:line="560" w:lineRule="exact"/>
        <w:ind w:firstLine="640" w:firstLineChars="200"/>
        <w:rPr>
          <w:rFonts w:eastAsia="黑体"/>
          <w:bCs/>
          <w:sz w:val="32"/>
          <w:szCs w:val="32"/>
        </w:rPr>
      </w:pPr>
      <w:r>
        <w:rPr>
          <w:rFonts w:eastAsia="黑体"/>
          <w:bCs/>
          <w:sz w:val="32"/>
          <w:szCs w:val="32"/>
        </w:rPr>
        <w:t>国有资产占用情况说明</w:t>
      </w:r>
    </w:p>
    <w:p>
      <w:pPr>
        <w:spacing w:line="560" w:lineRule="exact"/>
        <w:ind w:firstLine="640" w:firstLineChars="200"/>
        <w:rPr>
          <w:rFonts w:eastAsia="仿宋_GB2312"/>
          <w:sz w:val="32"/>
          <w:szCs w:val="32"/>
        </w:rPr>
      </w:pPr>
      <w:r>
        <w:rPr>
          <w:rFonts w:eastAsia="仿宋_GB2312"/>
          <w:sz w:val="32"/>
          <w:szCs w:val="32"/>
        </w:rPr>
        <w:t>截至</w:t>
      </w: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年12月31日，</w:t>
      </w:r>
      <w:r>
        <w:rPr>
          <w:rFonts w:hint="eastAsia" w:eastAsia="仿宋_GB2312"/>
          <w:sz w:val="32"/>
          <w:szCs w:val="32"/>
          <w:lang w:eastAsia="zh-CN"/>
        </w:rPr>
        <w:t>我站</w:t>
      </w:r>
      <w:r>
        <w:rPr>
          <w:rFonts w:eastAsia="仿宋_GB2312"/>
          <w:sz w:val="32"/>
          <w:szCs w:val="32"/>
        </w:rPr>
        <w:t>共有车辆</w:t>
      </w:r>
      <w:r>
        <w:rPr>
          <w:rFonts w:hint="eastAsia" w:eastAsia="仿宋_GB2312"/>
          <w:sz w:val="32"/>
          <w:szCs w:val="32"/>
          <w:lang w:val="en-US" w:eastAsia="zh-CN"/>
        </w:rPr>
        <w:t>0</w:t>
      </w:r>
      <w:r>
        <w:rPr>
          <w:rFonts w:eastAsia="仿宋_GB2312"/>
          <w:sz w:val="32"/>
          <w:szCs w:val="32"/>
        </w:rPr>
        <w:t>辆，其中主要领导干部用车</w:t>
      </w:r>
      <w:r>
        <w:rPr>
          <w:rFonts w:hint="eastAsia" w:eastAsia="仿宋_GB2312"/>
          <w:sz w:val="32"/>
          <w:szCs w:val="32"/>
          <w:lang w:val="en-US" w:eastAsia="zh-CN"/>
        </w:rPr>
        <w:t>0</w:t>
      </w:r>
      <w:r>
        <w:rPr>
          <w:rFonts w:eastAsia="仿宋_GB2312"/>
          <w:sz w:val="32"/>
          <w:szCs w:val="32"/>
        </w:rPr>
        <w:t>辆，机要通信用车</w:t>
      </w:r>
      <w:r>
        <w:rPr>
          <w:rFonts w:hint="eastAsia" w:eastAsia="仿宋_GB2312"/>
          <w:sz w:val="32"/>
          <w:szCs w:val="32"/>
          <w:lang w:val="en-US" w:eastAsia="zh-CN"/>
        </w:rPr>
        <w:t>0</w:t>
      </w:r>
      <w:r>
        <w:rPr>
          <w:rFonts w:eastAsia="仿宋_GB2312"/>
          <w:sz w:val="32"/>
          <w:szCs w:val="32"/>
        </w:rPr>
        <w:t>辆，应急保障用车</w:t>
      </w:r>
      <w:r>
        <w:rPr>
          <w:rFonts w:hint="eastAsia" w:eastAsia="仿宋_GB2312"/>
          <w:sz w:val="32"/>
          <w:szCs w:val="32"/>
          <w:lang w:val="en-US" w:eastAsia="zh-CN"/>
        </w:rPr>
        <w:t>0</w:t>
      </w:r>
      <w:r>
        <w:rPr>
          <w:rFonts w:eastAsia="仿宋_GB2312"/>
          <w:sz w:val="32"/>
          <w:szCs w:val="32"/>
        </w:rPr>
        <w:t>辆，特种专业技术用车</w:t>
      </w:r>
      <w:r>
        <w:rPr>
          <w:rFonts w:hint="eastAsia" w:eastAsia="仿宋_GB2312"/>
          <w:sz w:val="32"/>
          <w:szCs w:val="32"/>
          <w:lang w:val="en-US" w:eastAsia="zh-CN"/>
        </w:rPr>
        <w:t>0</w:t>
      </w:r>
      <w:r>
        <w:rPr>
          <w:rFonts w:eastAsia="仿宋_GB2312"/>
          <w:sz w:val="32"/>
          <w:szCs w:val="32"/>
        </w:rPr>
        <w:t>辆，其他用车</w:t>
      </w:r>
      <w:r>
        <w:rPr>
          <w:rFonts w:hint="eastAsia" w:eastAsia="仿宋_GB2312"/>
          <w:sz w:val="32"/>
          <w:szCs w:val="32"/>
          <w:lang w:val="en-US" w:eastAsia="zh-CN"/>
        </w:rPr>
        <w:t>0</w:t>
      </w:r>
      <w:r>
        <w:rPr>
          <w:rFonts w:eastAsia="仿宋_GB2312"/>
          <w:sz w:val="32"/>
          <w:szCs w:val="32"/>
        </w:rPr>
        <w:t>辆</w:t>
      </w:r>
      <w:r>
        <w:rPr>
          <w:rFonts w:hint="eastAsia" w:eastAsia="仿宋_GB2312"/>
          <w:sz w:val="32"/>
          <w:szCs w:val="32"/>
        </w:rPr>
        <w:t>。</w:t>
      </w:r>
      <w:r>
        <w:rPr>
          <w:rFonts w:eastAsia="仿宋_GB2312"/>
          <w:sz w:val="32"/>
          <w:szCs w:val="32"/>
        </w:rPr>
        <w:t>相比上年车辆保有量</w:t>
      </w:r>
      <w:r>
        <w:rPr>
          <w:rFonts w:hint="eastAsia" w:eastAsia="仿宋_GB2312"/>
          <w:sz w:val="32"/>
          <w:szCs w:val="32"/>
        </w:rPr>
        <w:t>增加</w:t>
      </w:r>
      <w:r>
        <w:rPr>
          <w:rFonts w:hint="eastAsia" w:eastAsia="仿宋_GB2312"/>
          <w:sz w:val="32"/>
          <w:szCs w:val="32"/>
          <w:lang w:val="en-US" w:eastAsia="zh-CN"/>
        </w:rPr>
        <w:t>0</w:t>
      </w:r>
      <w:r>
        <w:rPr>
          <w:rFonts w:eastAsia="仿宋_GB2312"/>
          <w:sz w:val="32"/>
          <w:szCs w:val="32"/>
        </w:rPr>
        <w:t>辆。</w:t>
      </w:r>
      <w:r>
        <w:rPr>
          <w:rFonts w:hint="eastAsia" w:eastAsia="仿宋_GB2312"/>
          <w:sz w:val="32"/>
          <w:szCs w:val="32"/>
        </w:rPr>
        <w:t>单位价值100万元以上设备（不含车辆）</w:t>
      </w:r>
      <w:r>
        <w:rPr>
          <w:rFonts w:hint="eastAsia" w:eastAsia="仿宋_GB2312"/>
          <w:sz w:val="32"/>
          <w:szCs w:val="32"/>
          <w:lang w:val="en-US" w:eastAsia="zh-CN"/>
        </w:rPr>
        <w:t>0</w:t>
      </w:r>
      <w:r>
        <w:rPr>
          <w:rFonts w:hint="eastAsia" w:eastAsia="仿宋_GB2312"/>
          <w:sz w:val="32"/>
          <w:szCs w:val="32"/>
        </w:rPr>
        <w:t>台（套）。</w:t>
      </w:r>
    </w:p>
    <w:p>
      <w:pPr>
        <w:numPr>
          <w:ilvl w:val="0"/>
          <w:numId w:val="4"/>
        </w:numPr>
        <w:adjustRightInd w:val="0"/>
        <w:snapToGrid w:val="0"/>
        <w:spacing w:line="560" w:lineRule="exact"/>
        <w:ind w:firstLine="640" w:firstLineChars="200"/>
        <w:rPr>
          <w:rFonts w:eastAsia="黑体"/>
          <w:bCs/>
          <w:sz w:val="32"/>
          <w:szCs w:val="32"/>
        </w:rPr>
      </w:pPr>
      <w:r>
        <w:rPr>
          <w:rFonts w:eastAsia="黑体"/>
          <w:bCs/>
          <w:sz w:val="32"/>
          <w:szCs w:val="32"/>
        </w:rPr>
        <w:t>预算绩效情况说明</w:t>
      </w:r>
    </w:p>
    <w:p>
      <w:pPr>
        <w:ind w:firstLine="640" w:firstLineChars="200"/>
        <w:rPr>
          <w:rFonts w:eastAsia="楷体_GB2312"/>
          <w:sz w:val="32"/>
          <w:szCs w:val="32"/>
        </w:rPr>
      </w:pPr>
      <w:r>
        <w:rPr>
          <w:rFonts w:eastAsia="楷体_GB2312"/>
          <w:sz w:val="32"/>
          <w:szCs w:val="32"/>
        </w:rPr>
        <w:t>(一)预算绩效管理工作开展情况。</w:t>
      </w:r>
    </w:p>
    <w:p>
      <w:pPr>
        <w:numPr>
          <w:ilvl w:val="0"/>
          <w:numId w:val="0"/>
        </w:numPr>
        <w:spacing w:line="560" w:lineRule="exact"/>
        <w:ind w:firstLine="640" w:firstLineChars="200"/>
        <w:rPr>
          <w:rFonts w:eastAsia="仿宋_GB2312"/>
          <w:sz w:val="32"/>
          <w:szCs w:val="32"/>
        </w:rPr>
      </w:pPr>
      <w:r>
        <w:rPr>
          <w:rFonts w:hint="eastAsia" w:eastAsia="仿宋_GB2312"/>
          <w:sz w:val="32"/>
          <w:szCs w:val="32"/>
        </w:rPr>
        <w:t>根据</w:t>
      </w:r>
      <w:r>
        <w:rPr>
          <w:rFonts w:hint="eastAsia" w:eastAsia="仿宋_GB2312"/>
          <w:sz w:val="32"/>
          <w:szCs w:val="32"/>
          <w:highlight w:val="none"/>
        </w:rPr>
        <w:t>预算绩效管理要求，本部</w:t>
      </w:r>
      <w:r>
        <w:rPr>
          <w:rFonts w:hint="eastAsia" w:eastAsia="仿宋_GB2312"/>
          <w:sz w:val="32"/>
          <w:szCs w:val="32"/>
        </w:rPr>
        <w:t>门组织对202</w:t>
      </w:r>
      <w:r>
        <w:rPr>
          <w:rFonts w:hint="eastAsia" w:eastAsia="仿宋_GB2312"/>
          <w:sz w:val="32"/>
          <w:szCs w:val="32"/>
          <w:lang w:val="en-US" w:eastAsia="zh-CN"/>
        </w:rPr>
        <w:t>3</w:t>
      </w:r>
      <w:r>
        <w:rPr>
          <w:rFonts w:hint="eastAsia" w:eastAsia="仿宋_GB2312"/>
          <w:sz w:val="32"/>
          <w:szCs w:val="32"/>
        </w:rPr>
        <w:t>年度一般公共预算项目支出全面开展绩效自评，</w:t>
      </w:r>
      <w:r>
        <w:rPr>
          <w:rFonts w:hint="eastAsia" w:eastAsia="仿宋_GB2312"/>
          <w:sz w:val="32"/>
          <w:szCs w:val="32"/>
          <w:lang w:eastAsia="zh-CN"/>
        </w:rPr>
        <w:t>因我单位主要职能为国有资产的保值增值、安全维稳及综合治理等方面，基本支出主要为人员及运转支出，故只开展部门整体绩效。</w:t>
      </w:r>
    </w:p>
    <w:p>
      <w:pPr>
        <w:spacing w:line="560" w:lineRule="exact"/>
        <w:ind w:firstLine="640" w:firstLineChars="200"/>
        <w:rPr>
          <w:rFonts w:eastAsia="仿宋_GB2312"/>
          <w:sz w:val="32"/>
          <w:szCs w:val="32"/>
        </w:rPr>
      </w:pPr>
      <w:r>
        <w:rPr>
          <w:rFonts w:hint="eastAsia" w:eastAsia="仿宋_GB2312"/>
          <w:sz w:val="32"/>
          <w:szCs w:val="32"/>
        </w:rPr>
        <w:t>组织开展部门整体支出绩效评价，评价情况来看，202</w:t>
      </w:r>
      <w:r>
        <w:rPr>
          <w:rFonts w:hint="eastAsia" w:eastAsia="仿宋_GB2312"/>
          <w:sz w:val="32"/>
          <w:szCs w:val="32"/>
          <w:lang w:val="en-US" w:eastAsia="zh-CN"/>
        </w:rPr>
        <w:t>3</w:t>
      </w:r>
      <w:r>
        <w:rPr>
          <w:rFonts w:hint="eastAsia" w:eastAsia="仿宋_GB2312"/>
          <w:sz w:val="32"/>
          <w:szCs w:val="32"/>
        </w:rPr>
        <w:t>年度</w:t>
      </w:r>
      <w:r>
        <w:rPr>
          <w:rFonts w:hint="eastAsia" w:eastAsia="仿宋_GB2312"/>
          <w:sz w:val="32"/>
          <w:szCs w:val="32"/>
          <w:lang w:eastAsia="zh-CN"/>
        </w:rPr>
        <w:t>我站</w:t>
      </w:r>
      <w:r>
        <w:rPr>
          <w:rFonts w:hint="eastAsia" w:eastAsia="仿宋_GB2312"/>
          <w:sz w:val="32"/>
          <w:szCs w:val="32"/>
        </w:rPr>
        <w:t>整体支出绩</w:t>
      </w:r>
      <w:r>
        <w:rPr>
          <w:rFonts w:hint="eastAsia" w:eastAsia="仿宋_GB2312"/>
          <w:sz w:val="32"/>
          <w:szCs w:val="32"/>
          <w:highlight w:val="none"/>
        </w:rPr>
        <w:t>效自评结果评分</w:t>
      </w:r>
      <w:r>
        <w:rPr>
          <w:rFonts w:hint="eastAsia" w:eastAsia="仿宋_GB2312"/>
          <w:sz w:val="32"/>
          <w:szCs w:val="32"/>
          <w:highlight w:val="none"/>
          <w:lang w:val="en-US" w:eastAsia="zh-CN"/>
        </w:rPr>
        <w:t>良好</w:t>
      </w:r>
      <w:r>
        <w:rPr>
          <w:rFonts w:hint="eastAsia" w:eastAsia="仿宋_GB2312"/>
          <w:sz w:val="32"/>
          <w:szCs w:val="32"/>
          <w:highlight w:val="none"/>
        </w:rPr>
        <w:t>。整体</w:t>
      </w:r>
      <w:r>
        <w:rPr>
          <w:rFonts w:hint="eastAsia" w:eastAsia="仿宋_GB2312"/>
          <w:sz w:val="32"/>
          <w:szCs w:val="32"/>
        </w:rPr>
        <w:t>支出符合国家相关政策，运行成本，履职效能，社会效应，可持续发展能力，服务对象满意度指标均已完成年初设定目标值。</w:t>
      </w:r>
    </w:p>
    <w:p>
      <w:pPr>
        <w:pStyle w:val="10"/>
        <w:ind w:firstLine="624" w:firstLineChars="195"/>
        <w:rPr>
          <w:rFonts w:ascii="Times New Roman" w:hAnsi="Times New Roman" w:eastAsia="仿宋_GB2312" w:cs="Times New Roman"/>
          <w:szCs w:val="32"/>
        </w:rPr>
      </w:pPr>
      <w:r>
        <w:rPr>
          <w:rFonts w:ascii="Times New Roman" w:hAnsi="Times New Roman" w:eastAsia="楷体_GB2312" w:cs="Times New Roman"/>
          <w:szCs w:val="32"/>
        </w:rPr>
        <w:t>（二）部门决算中项目绩效自评结果。</w:t>
      </w:r>
    </w:p>
    <w:p>
      <w:pPr>
        <w:spacing w:line="560" w:lineRule="exact"/>
        <w:ind w:firstLine="640" w:firstLineChars="200"/>
        <w:rPr>
          <w:rFonts w:eastAsia="仿宋_GB2312"/>
          <w:sz w:val="32"/>
          <w:szCs w:val="32"/>
        </w:rPr>
      </w:pPr>
      <w:r>
        <w:rPr>
          <w:rFonts w:hint="eastAsia" w:eastAsia="仿宋_GB2312"/>
          <w:sz w:val="32"/>
          <w:szCs w:val="32"/>
          <w:lang w:eastAsia="zh-CN"/>
        </w:rPr>
        <w:t>我站</w:t>
      </w:r>
      <w:r>
        <w:rPr>
          <w:rFonts w:hint="eastAsia" w:eastAsia="仿宋_GB2312"/>
          <w:sz w:val="32"/>
          <w:szCs w:val="32"/>
        </w:rPr>
        <w:t>今年在省级部门决算中反映所有项目绩效自评结果如下：</w:t>
      </w:r>
    </w:p>
    <w:p>
      <w:pPr>
        <w:autoSpaceDE w:val="0"/>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一、</w:t>
      </w:r>
      <w:r>
        <w:rPr>
          <w:rFonts w:hint="eastAsia" w:ascii="仿宋_GB2312" w:hAnsi="仿宋_GB2312" w:eastAsia="仿宋_GB2312" w:cs="仿宋_GB2312"/>
          <w:b/>
          <w:bCs/>
          <w:sz w:val="32"/>
          <w:szCs w:val="32"/>
          <w:highlight w:val="none"/>
          <w:lang w:val="en-US" w:eastAsia="zh-CN"/>
        </w:rPr>
        <w:t>自评</w:t>
      </w:r>
      <w:r>
        <w:rPr>
          <w:rFonts w:hint="eastAsia" w:ascii="仿宋_GB2312" w:hAnsi="仿宋_GB2312" w:eastAsia="仿宋_GB2312" w:cs="仿宋_GB2312"/>
          <w:b/>
          <w:bCs/>
          <w:sz w:val="32"/>
          <w:szCs w:val="32"/>
          <w:highlight w:val="none"/>
        </w:rPr>
        <w:t>结论</w:t>
      </w:r>
    </w:p>
    <w:p>
      <w:pPr>
        <w:autoSpaceDE w:val="0"/>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（一）</w:t>
      </w:r>
      <w:r>
        <w:rPr>
          <w:rFonts w:hint="eastAsia" w:ascii="仿宋_GB2312" w:hAnsi="仿宋_GB2312" w:eastAsia="仿宋_GB2312" w:cs="仿宋_GB2312"/>
          <w:color w:val="000000"/>
          <w:kern w:val="0"/>
          <w:sz w:val="32"/>
          <w:szCs w:val="32"/>
          <w:highlight w:val="none"/>
          <w:lang w:val="en-US" w:eastAsia="zh-CN"/>
        </w:rPr>
        <w:t>部门整体自评得分</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通过对</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年度</w:t>
      </w:r>
      <w:r>
        <w:rPr>
          <w:rFonts w:hint="eastAsia" w:ascii="仿宋_GB2312" w:hAnsi="仿宋_GB2312" w:eastAsia="仿宋_GB2312" w:cs="仿宋_GB2312"/>
          <w:sz w:val="32"/>
          <w:szCs w:val="32"/>
          <w:highlight w:val="none"/>
        </w:rPr>
        <w:t>湖北省农业科学院</w:t>
      </w:r>
      <w:r>
        <w:rPr>
          <w:rFonts w:hint="eastAsia" w:ascii="仿宋_GB2312" w:hAnsi="仿宋_GB2312" w:eastAsia="仿宋_GB2312" w:cs="仿宋_GB2312"/>
          <w:sz w:val="32"/>
          <w:szCs w:val="32"/>
          <w:highlight w:val="none"/>
          <w:lang w:eastAsia="zh-CN"/>
        </w:rPr>
        <w:t>南湖试验站</w:t>
      </w:r>
      <w:r>
        <w:rPr>
          <w:rFonts w:hint="eastAsia" w:ascii="仿宋_GB2312" w:hAnsi="仿宋_GB2312" w:eastAsia="仿宋_GB2312" w:cs="仿宋_GB2312"/>
          <w:sz w:val="32"/>
          <w:szCs w:val="32"/>
          <w:highlight w:val="none"/>
        </w:rPr>
        <w:t>整体预算和绩效指标完成情况的汇总分析</w:t>
      </w:r>
      <w:r>
        <w:rPr>
          <w:rFonts w:hint="eastAsia" w:ascii="仿宋_GB2312" w:hAnsi="仿宋_GB2312" w:eastAsia="仿宋_GB2312" w:cs="仿宋_GB2312"/>
          <w:sz w:val="32"/>
          <w:szCs w:val="32"/>
        </w:rPr>
        <w:t>，整体绩效自评等级为“优”。</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（二）</w:t>
      </w:r>
      <w:r>
        <w:rPr>
          <w:rFonts w:hint="eastAsia" w:ascii="仿宋_GB2312" w:hAnsi="仿宋_GB2312" w:eastAsia="仿宋_GB2312" w:cs="仿宋_GB2312"/>
          <w:sz w:val="32"/>
          <w:szCs w:val="32"/>
          <w:highlight w:val="none"/>
          <w:lang w:val="en-US" w:eastAsia="zh-CN"/>
        </w:rPr>
        <w:t>部门整体绩效目标完成情况</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部门整体及核心业务效果</w:t>
      </w:r>
      <w:r>
        <w:rPr>
          <w:rFonts w:hint="eastAsia" w:ascii="仿宋_GB2312" w:hAnsi="仿宋_GB2312" w:eastAsia="仿宋_GB2312" w:cs="仿宋_GB2312"/>
          <w:sz w:val="32"/>
          <w:szCs w:val="32"/>
          <w:highlight w:val="none"/>
        </w:rPr>
        <w:t>绩效目标</w:t>
      </w:r>
      <w:r>
        <w:rPr>
          <w:rFonts w:hint="eastAsia" w:ascii="仿宋_GB2312" w:hAnsi="仿宋_GB2312" w:eastAsia="仿宋_GB2312" w:cs="仿宋_GB2312"/>
          <w:sz w:val="32"/>
          <w:szCs w:val="32"/>
          <w:highlight w:val="none"/>
          <w:lang w:val="en-US" w:eastAsia="zh-CN"/>
        </w:rPr>
        <w:t>完成情况</w:t>
      </w:r>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1）已</w:t>
      </w:r>
      <w:r>
        <w:rPr>
          <w:rFonts w:hint="eastAsia" w:ascii="仿宋_GB2312" w:hAnsi="仿宋_GB2312" w:eastAsia="仿宋_GB2312" w:cs="仿宋_GB2312"/>
          <w:sz w:val="32"/>
          <w:szCs w:val="32"/>
          <w:lang w:val="en-US" w:eastAsia="zh-CN"/>
        </w:rPr>
        <w:t>完成的绩效目标：运行成本、履职效能、社会效应、服务对象满意度指标均已完成年初设定目标值。</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未完成的绩效目标。</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管理效率中三级指标“预算调整率、结转结余率、政府采购执行率、非税收入预算完成率”；</w:t>
      </w:r>
      <w:r>
        <w:rPr>
          <w:rFonts w:hint="eastAsia" w:ascii="仿宋_GB2312" w:hAnsi="仿宋_GB2312" w:eastAsia="仿宋_GB2312" w:cs="仿宋_GB2312"/>
          <w:sz w:val="32"/>
          <w:szCs w:val="32"/>
          <w:lang w:val="en-US" w:eastAsia="zh-CN"/>
        </w:rPr>
        <w:t>可持续发展能力中</w:t>
      </w:r>
      <w:r>
        <w:rPr>
          <w:rFonts w:hint="eastAsia" w:ascii="仿宋_GB2312" w:hAnsi="仿宋_GB2312" w:eastAsia="仿宋_GB2312" w:cs="仿宋_GB2312"/>
          <w:sz w:val="32"/>
          <w:szCs w:val="32"/>
          <w:highlight w:val="none"/>
          <w:lang w:val="en-US" w:eastAsia="zh-CN"/>
        </w:rPr>
        <w:t>三级</w:t>
      </w:r>
      <w:r>
        <w:rPr>
          <w:rFonts w:hint="eastAsia" w:ascii="仿宋_GB2312" w:hAnsi="仿宋_GB2312" w:eastAsia="仿宋_GB2312" w:cs="仿宋_GB2312"/>
          <w:sz w:val="32"/>
          <w:szCs w:val="32"/>
          <w:lang w:val="en-US" w:eastAsia="zh-CN"/>
        </w:rPr>
        <w:t>指标“高学历、高层次人才储备率”未完成年初目标值。</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创新型指标设置及完成情况</w:t>
      </w:r>
      <w:r>
        <w:rPr>
          <w:rFonts w:hint="eastAsia" w:ascii="仿宋_GB2312" w:hAnsi="仿宋_GB2312" w:eastAsia="仿宋_GB2312" w:cs="仿宋_GB2312"/>
          <w:sz w:val="32"/>
          <w:szCs w:val="32"/>
          <w:highlight w:val="none"/>
        </w:rPr>
        <w:t>。</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创新型指标设置：根据南湖试验站部门职能特性，共设置三级指标36个，其中绩效基本型指标29个，绩效创新型指标7个，创新型指标占比达19.44%,达到三级指标中的绩效创新型指标不低于三级指标总数10%设定。</w:t>
      </w:r>
    </w:p>
    <w:p>
      <w:pPr>
        <w:pStyle w:val="2"/>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（2）指标完成情况：</w:t>
      </w:r>
      <w:r>
        <w:rPr>
          <w:rFonts w:hint="eastAsia" w:ascii="仿宋_GB2312" w:hAnsi="仿宋_GB2312" w:cs="仿宋_GB2312"/>
          <w:sz w:val="32"/>
          <w:szCs w:val="32"/>
          <w:highlight w:val="none"/>
          <w:lang w:val="en-US" w:eastAsia="zh-CN"/>
        </w:rPr>
        <w:t>2023年度</w:t>
      </w:r>
      <w:r>
        <w:rPr>
          <w:rFonts w:hint="eastAsia" w:ascii="仿宋_GB2312" w:hAnsi="仿宋_GB2312" w:eastAsia="仿宋_GB2312" w:cs="仿宋_GB2312"/>
          <w:sz w:val="32"/>
          <w:szCs w:val="32"/>
          <w:highlight w:val="none"/>
          <w:lang w:val="en-US" w:eastAsia="zh-CN"/>
        </w:rPr>
        <w:t>创新型指标均已完成完成年初目标值。</w:t>
      </w:r>
    </w:p>
    <w:p>
      <w:pPr>
        <w:numPr>
          <w:ilvl w:val="0"/>
          <w:numId w:val="6"/>
        </w:num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主要成效、存在的突出问题和原因</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（四）下一步拟改进措施</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不断优化绩效评价方法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促进预算资金均衡使用，确保预算资金的有效使用。</w:t>
      </w:r>
    </w:p>
    <w:p>
      <w:pPr>
        <w:spacing w:line="560" w:lineRule="exact"/>
        <w:ind w:firstLine="640" w:firstLineChars="200"/>
        <w:rPr>
          <w:rFonts w:eastAsia="仿宋_GB2312"/>
          <w:sz w:val="32"/>
          <w:szCs w:val="32"/>
        </w:rPr>
      </w:pPr>
      <w:r>
        <w:rPr>
          <w:rFonts w:eastAsia="黑体"/>
          <w:sz w:val="32"/>
          <w:szCs w:val="32"/>
        </w:rPr>
        <w:t>十四、财政专项支出、专项转移支付支出情况说明</w:t>
      </w:r>
    </w:p>
    <w:p>
      <w:pPr>
        <w:spacing w:line="560" w:lineRule="exact"/>
        <w:ind w:firstLine="640" w:firstLineChars="200"/>
        <w:rPr>
          <w:rFonts w:eastAsia="仿宋_GB2312"/>
          <w:sz w:val="32"/>
          <w:szCs w:val="32"/>
        </w:rPr>
      </w:pPr>
      <w:r>
        <w:rPr>
          <w:rFonts w:hint="eastAsia" w:eastAsia="仿宋_GB2312"/>
          <w:sz w:val="32"/>
          <w:szCs w:val="32"/>
          <w:lang w:eastAsia="zh-CN"/>
        </w:rPr>
        <w:t>我站</w:t>
      </w:r>
      <w:r>
        <w:rPr>
          <w:rFonts w:eastAsia="仿宋_GB2312"/>
          <w:sz w:val="32"/>
          <w:szCs w:val="32"/>
        </w:rPr>
        <w:t>无财政专项支出、专项转移支付，空表已公开。</w:t>
      </w:r>
    </w:p>
    <w:p>
      <w:pPr>
        <w:spacing w:line="560" w:lineRule="exact"/>
        <w:ind w:firstLine="640" w:firstLineChars="200"/>
        <w:rPr>
          <w:rFonts w:eastAsia="仿宋_GB2312"/>
          <w:sz w:val="32"/>
          <w:szCs w:val="32"/>
        </w:rPr>
      </w:pPr>
    </w:p>
    <w:p>
      <w:r>
        <w:rPr>
          <w:rFonts w:eastAsia="仿宋_GB2312"/>
          <w:sz w:val="32"/>
          <w:szCs w:val="32"/>
        </w:rPr>
        <w:br w:type="page"/>
      </w:r>
    </w:p>
    <w:p>
      <w:pPr>
        <w:numPr>
          <w:ilvl w:val="0"/>
          <w:numId w:val="7"/>
        </w:numPr>
        <w:spacing w:line="560" w:lineRule="exact"/>
        <w:jc w:val="center"/>
        <w:rPr>
          <w:rFonts w:eastAsia="方正小标宋简体"/>
          <w:sz w:val="44"/>
          <w:szCs w:val="44"/>
        </w:rPr>
      </w:pPr>
      <w:r>
        <w:rPr>
          <w:rFonts w:eastAsia="方正小标宋简体"/>
          <w:sz w:val="44"/>
          <w:szCs w:val="44"/>
        </w:rPr>
        <w:t xml:space="preserve"> 其他需要说明的情况</w:t>
      </w:r>
    </w:p>
    <w:p>
      <w:pPr>
        <w:spacing w:line="560" w:lineRule="exact"/>
        <w:rPr>
          <w:rFonts w:eastAsia="方正小标宋简体"/>
          <w:sz w:val="44"/>
          <w:szCs w:val="44"/>
        </w:rPr>
      </w:pPr>
    </w:p>
    <w:p>
      <w:pPr>
        <w:spacing w:line="560" w:lineRule="exact"/>
        <w:ind w:firstLine="640" w:firstLineChars="200"/>
        <w:rPr>
          <w:rFonts w:eastAsia="黑体"/>
          <w:sz w:val="32"/>
          <w:szCs w:val="32"/>
        </w:rPr>
      </w:pPr>
      <w:r>
        <w:rPr>
          <w:rFonts w:eastAsia="黑体"/>
          <w:sz w:val="32"/>
          <w:szCs w:val="32"/>
        </w:rPr>
        <w:t>一、举借政府债务情况</w:t>
      </w:r>
    </w:p>
    <w:p>
      <w:pPr>
        <w:spacing w:line="560" w:lineRule="exact"/>
        <w:ind w:firstLine="640" w:firstLineChars="200"/>
        <w:rPr>
          <w:rFonts w:eastAsia="仿宋_GB2312"/>
          <w:sz w:val="32"/>
          <w:szCs w:val="32"/>
        </w:rPr>
      </w:pPr>
      <w:r>
        <w:rPr>
          <w:rFonts w:hint="eastAsia" w:eastAsia="仿宋_GB2312"/>
          <w:sz w:val="32"/>
          <w:szCs w:val="32"/>
          <w:lang w:eastAsia="zh-CN"/>
        </w:rPr>
        <w:t>我站</w:t>
      </w:r>
      <w:r>
        <w:rPr>
          <w:rFonts w:eastAsia="仿宋_GB2312"/>
          <w:sz w:val="32"/>
          <w:szCs w:val="32"/>
        </w:rPr>
        <w:t>无政府性债务。</w:t>
      </w:r>
    </w:p>
    <w:p>
      <w:pPr>
        <w:spacing w:line="560" w:lineRule="exact"/>
        <w:ind w:firstLine="640" w:firstLineChars="200"/>
        <w:rPr>
          <w:rFonts w:eastAsia="黑体"/>
          <w:sz w:val="32"/>
          <w:szCs w:val="32"/>
        </w:rPr>
      </w:pPr>
      <w:r>
        <w:rPr>
          <w:rFonts w:eastAsia="黑体"/>
          <w:sz w:val="32"/>
          <w:szCs w:val="32"/>
        </w:rPr>
        <w:t>二、脱贫攻坚与乡村振兴有效衔接资金安排情况</w:t>
      </w:r>
    </w:p>
    <w:p>
      <w:pPr>
        <w:spacing w:line="560" w:lineRule="exact"/>
        <w:ind w:firstLine="640" w:firstLineChars="200"/>
        <w:rPr>
          <w:rFonts w:eastAsia="仿宋_GB2312"/>
          <w:sz w:val="32"/>
          <w:szCs w:val="32"/>
        </w:rPr>
      </w:pPr>
      <w:r>
        <w:rPr>
          <w:rFonts w:hint="eastAsia" w:eastAsia="仿宋_GB2312"/>
          <w:sz w:val="32"/>
          <w:szCs w:val="32"/>
          <w:lang w:eastAsia="zh-CN"/>
        </w:rPr>
        <w:t>我站</w:t>
      </w:r>
      <w:r>
        <w:rPr>
          <w:rFonts w:eastAsia="仿宋_GB2312"/>
          <w:sz w:val="32"/>
          <w:szCs w:val="32"/>
        </w:rPr>
        <w:t>无脱贫攻坚与乡村振兴有效衔接资金资金拨款，但</w:t>
      </w:r>
      <w:r>
        <w:rPr>
          <w:rFonts w:hint="eastAsia" w:eastAsia="仿宋_GB2312"/>
          <w:sz w:val="32"/>
          <w:szCs w:val="32"/>
          <w:lang w:eastAsia="zh-CN"/>
        </w:rPr>
        <w:t>我站</w:t>
      </w:r>
      <w:r>
        <w:rPr>
          <w:rFonts w:eastAsia="仿宋_GB2312"/>
          <w:sz w:val="32"/>
          <w:szCs w:val="32"/>
        </w:rPr>
        <w:t>一直通过农业科技支撑乡村振兴。</w:t>
      </w: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r>
        <w:rPr>
          <w:rFonts w:eastAsia="仿宋_GB2312"/>
          <w:sz w:val="32"/>
          <w:szCs w:val="32"/>
        </w:rPr>
        <w:br w:type="page"/>
      </w:r>
    </w:p>
    <w:p>
      <w:pPr>
        <w:numPr>
          <w:ilvl w:val="0"/>
          <w:numId w:val="7"/>
        </w:numPr>
        <w:spacing w:line="560" w:lineRule="exact"/>
        <w:jc w:val="center"/>
        <w:rPr>
          <w:rFonts w:eastAsia="方正小标宋简体"/>
          <w:sz w:val="44"/>
          <w:szCs w:val="44"/>
        </w:rPr>
      </w:pPr>
      <w:r>
        <w:rPr>
          <w:rFonts w:eastAsia="方正小标宋简体"/>
          <w:sz w:val="44"/>
          <w:szCs w:val="44"/>
        </w:rPr>
        <w:t xml:space="preserve"> 名词解释</w:t>
      </w:r>
    </w:p>
    <w:p>
      <w:pPr>
        <w:spacing w:line="560" w:lineRule="exact"/>
        <w:rPr>
          <w:rFonts w:eastAsia="方正小标宋简体"/>
          <w:sz w:val="44"/>
          <w:szCs w:val="44"/>
        </w:rPr>
      </w:pPr>
    </w:p>
    <w:p>
      <w:pPr>
        <w:spacing w:line="560" w:lineRule="exact"/>
        <w:ind w:firstLine="640"/>
        <w:rPr>
          <w:rFonts w:ascii="仿宋_GB2312" w:eastAsia="仿宋_GB2312"/>
          <w:bCs/>
          <w:kern w:val="44"/>
          <w:sz w:val="32"/>
          <w:szCs w:val="32"/>
        </w:rPr>
      </w:pPr>
      <w:r>
        <w:rPr>
          <w:rFonts w:hint="eastAsia" w:ascii="仿宋_GB2312" w:hAnsi="仿宋" w:eastAsia="仿宋_GB2312" w:cs="仿宋"/>
          <w:sz w:val="32"/>
          <w:szCs w:val="32"/>
        </w:rPr>
        <w:t>(一)一般公共预算财政拨款收入：</w:t>
      </w:r>
      <w:r>
        <w:rPr>
          <w:rFonts w:ascii="仿宋_GB2312" w:hAnsi="仿宋" w:eastAsia="仿宋_GB2312" w:cs="仿宋"/>
          <w:sz w:val="32"/>
          <w:szCs w:val="32"/>
        </w:rPr>
        <w:t>指</w:t>
      </w:r>
      <w:r>
        <w:rPr>
          <w:rFonts w:hint="eastAsia" w:ascii="仿宋_GB2312" w:hAnsi="仿宋" w:cs="仿宋"/>
          <w:sz w:val="32"/>
          <w:szCs w:val="32"/>
        </w:rPr>
        <w:t>省</w:t>
      </w:r>
      <w:r>
        <w:rPr>
          <w:rFonts w:hint="eastAsia" w:ascii="仿宋_GB2312" w:eastAsia="仿宋_GB2312"/>
          <w:bCs/>
          <w:kern w:val="44"/>
          <w:sz w:val="32"/>
          <w:szCs w:val="32"/>
        </w:rPr>
        <w:t>级</w:t>
      </w:r>
      <w:r>
        <w:rPr>
          <w:rFonts w:ascii="仿宋_GB2312" w:eastAsia="仿宋_GB2312"/>
          <w:bCs/>
          <w:kern w:val="44"/>
          <w:sz w:val="32"/>
          <w:szCs w:val="32"/>
        </w:rPr>
        <w:t>财政</w:t>
      </w:r>
      <w:r>
        <w:rPr>
          <w:rFonts w:hint="eastAsia" w:ascii="仿宋_GB2312" w:eastAsia="仿宋_GB2312"/>
          <w:bCs/>
          <w:kern w:val="44"/>
          <w:sz w:val="32"/>
          <w:szCs w:val="32"/>
        </w:rPr>
        <w:t>一般公共预算</w:t>
      </w:r>
      <w:r>
        <w:rPr>
          <w:rFonts w:ascii="仿宋_GB2312" w:eastAsia="仿宋_GB2312"/>
          <w:bCs/>
          <w:kern w:val="44"/>
          <w:sz w:val="32"/>
          <w:szCs w:val="32"/>
        </w:rPr>
        <w:t>当年拨付的</w:t>
      </w:r>
      <w:r>
        <w:rPr>
          <w:rFonts w:hint="eastAsia" w:ascii="仿宋_GB2312" w:eastAsia="仿宋_GB2312"/>
          <w:bCs/>
          <w:kern w:val="44"/>
          <w:sz w:val="32"/>
          <w:szCs w:val="32"/>
        </w:rPr>
        <w:t>资金。反映我部门年初控制数内经费拨款和资产收益安排支出。</w:t>
      </w:r>
    </w:p>
    <w:p>
      <w:pPr>
        <w:spacing w:line="560" w:lineRule="exact"/>
        <w:ind w:firstLine="640" w:firstLineChars="200"/>
        <w:rPr>
          <w:rFonts w:eastAsia="仿宋_GB2312"/>
          <w:sz w:val="32"/>
          <w:szCs w:val="32"/>
        </w:rPr>
      </w:pPr>
      <w:r>
        <w:rPr>
          <w:rFonts w:hint="eastAsia" w:eastAsia="仿宋_GB2312"/>
          <w:sz w:val="32"/>
          <w:szCs w:val="32"/>
        </w:rPr>
        <w:t>（二）</w:t>
      </w:r>
      <w:r>
        <w:rPr>
          <w:rFonts w:eastAsia="仿宋_GB2312"/>
          <w:sz w:val="32"/>
          <w:szCs w:val="32"/>
        </w:rPr>
        <w:t>事业收入：事业单位开展专业业务活动及辅助活动取得的收入。</w:t>
      </w:r>
      <w:r>
        <w:rPr>
          <w:rFonts w:hint="eastAsia" w:ascii="仿宋_GB2312" w:eastAsia="仿宋_GB2312"/>
          <w:bCs/>
          <w:kern w:val="44"/>
          <w:sz w:val="32"/>
          <w:szCs w:val="32"/>
        </w:rPr>
        <w:t>反映</w:t>
      </w:r>
      <w:r>
        <w:rPr>
          <w:rFonts w:hint="eastAsia" w:eastAsia="仿宋_GB2312"/>
          <w:sz w:val="32"/>
          <w:szCs w:val="32"/>
        </w:rPr>
        <w:t>我部门技术服务、成果转化收入等。</w:t>
      </w:r>
    </w:p>
    <w:p>
      <w:pPr>
        <w:spacing w:line="56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其他收入：填列单位取得的除上述收入以外的各项收入。</w:t>
      </w:r>
      <w:r>
        <w:rPr>
          <w:rFonts w:hint="eastAsia" w:eastAsia="仿宋_GB2312"/>
          <w:sz w:val="32"/>
          <w:szCs w:val="32"/>
        </w:rPr>
        <w:t>反映我部门利息收入及其他收入等。</w:t>
      </w:r>
    </w:p>
    <w:p>
      <w:pPr>
        <w:spacing w:line="560" w:lineRule="exact"/>
        <w:ind w:firstLine="640" w:firstLineChars="200"/>
        <w:rPr>
          <w:rFonts w:eastAsia="仿宋_GB2312"/>
          <w:sz w:val="32"/>
          <w:szCs w:val="32"/>
        </w:rPr>
      </w:pPr>
      <w:r>
        <w:rPr>
          <w:rFonts w:hint="eastAsia" w:eastAsia="仿宋_GB2312"/>
          <w:sz w:val="32"/>
          <w:szCs w:val="32"/>
        </w:rPr>
        <w:t>（四）</w:t>
      </w:r>
      <w:r>
        <w:rPr>
          <w:rFonts w:eastAsia="仿宋_GB2312"/>
          <w:sz w:val="32"/>
          <w:szCs w:val="32"/>
        </w:rPr>
        <w:t>基本支出：指为保障机构正常运转、完成日常工作任务而发生的各项支出。</w:t>
      </w:r>
      <w:r>
        <w:rPr>
          <w:rFonts w:hint="eastAsia" w:eastAsia="仿宋_GB2312"/>
          <w:sz w:val="32"/>
          <w:szCs w:val="32"/>
        </w:rPr>
        <w:t>反映我部门人员及运转类支出。</w:t>
      </w:r>
    </w:p>
    <w:p>
      <w:pPr>
        <w:spacing w:line="560" w:lineRule="exact"/>
        <w:ind w:firstLine="640" w:firstLineChars="200"/>
        <w:rPr>
          <w:rFonts w:eastAsia="仿宋_GB2312"/>
          <w:sz w:val="32"/>
          <w:szCs w:val="32"/>
        </w:rPr>
      </w:pPr>
      <w:r>
        <w:rPr>
          <w:rFonts w:hint="eastAsia" w:eastAsia="仿宋_GB2312"/>
          <w:sz w:val="32"/>
          <w:szCs w:val="32"/>
        </w:rPr>
        <w:t>（五）</w:t>
      </w:r>
      <w:r>
        <w:rPr>
          <w:rFonts w:eastAsia="仿宋_GB2312"/>
          <w:sz w:val="32"/>
          <w:szCs w:val="32"/>
        </w:rPr>
        <w:t>项目支出：指单位为完成特定行政任务或事业发展目标，在基本支出之外发生的各项支出。</w:t>
      </w:r>
      <w:r>
        <w:rPr>
          <w:rFonts w:hint="eastAsia" w:eastAsia="仿宋_GB2312"/>
          <w:sz w:val="32"/>
          <w:szCs w:val="32"/>
        </w:rPr>
        <w:t>反映我部门科研项目及特定目标类支出。</w:t>
      </w:r>
    </w:p>
    <w:p>
      <w:pPr>
        <w:adjustRightInd w:val="0"/>
        <w:snapToGrid w:val="0"/>
        <w:spacing w:line="560" w:lineRule="exact"/>
        <w:ind w:firstLine="640" w:firstLineChars="200"/>
        <w:rPr>
          <w:rFonts w:eastAsia="仿宋_GB2312"/>
          <w:sz w:val="32"/>
          <w:szCs w:val="32"/>
        </w:rPr>
      </w:pPr>
      <w:r>
        <w:rPr>
          <w:rFonts w:hint="eastAsia" w:eastAsia="仿宋_GB2312"/>
          <w:sz w:val="32"/>
          <w:szCs w:val="32"/>
        </w:rPr>
        <w:t>（六）</w:t>
      </w:r>
      <w:r>
        <w:rPr>
          <w:rFonts w:hint="eastAsia" w:ascii="仿宋_GB2312" w:eastAsia="仿宋_GB2312"/>
          <w:bCs/>
          <w:kern w:val="44"/>
          <w:sz w:val="32"/>
          <w:szCs w:val="32"/>
        </w:rPr>
        <w:t>年初结转和结余：</w:t>
      </w:r>
      <w:r>
        <w:rPr>
          <w:rFonts w:ascii="仿宋_GB2312" w:hAnsi="仿宋_GB2312" w:eastAsia="仿宋_GB2312"/>
          <w:color w:val="000000"/>
          <w:sz w:val="32"/>
        </w:rPr>
        <w:t>指</w:t>
      </w:r>
      <w:r>
        <w:rPr>
          <w:rFonts w:hint="eastAsia" w:ascii="仿宋_GB2312" w:hAnsi="仿宋_GB2312" w:eastAsia="仿宋_GB2312"/>
          <w:color w:val="000000"/>
          <w:sz w:val="32"/>
        </w:rPr>
        <w:t>单位</w:t>
      </w:r>
      <w:r>
        <w:rPr>
          <w:rFonts w:ascii="仿宋_GB2312" w:hAnsi="仿宋_GB2312" w:eastAsia="仿宋_GB2312"/>
          <w:color w:val="000000"/>
          <w:sz w:val="32"/>
        </w:rPr>
        <w:t>以前年度</w:t>
      </w:r>
      <w:r>
        <w:rPr>
          <w:rFonts w:hint="eastAsia" w:ascii="仿宋_GB2312" w:hAnsi="仿宋_GB2312" w:eastAsia="仿宋_GB2312"/>
          <w:color w:val="000000"/>
          <w:sz w:val="32"/>
        </w:rPr>
        <w:t>尚未完成</w:t>
      </w:r>
      <w:r>
        <w:rPr>
          <w:rFonts w:ascii="仿宋_GB2312" w:hAnsi="仿宋_GB2312" w:eastAsia="仿宋_GB2312"/>
          <w:color w:val="000000"/>
          <w:sz w:val="32"/>
        </w:rPr>
        <w:t>、结转到本年仍按原规定用途继续使用的资金</w:t>
      </w:r>
      <w:r>
        <w:rPr>
          <w:rFonts w:hint="eastAsia" w:ascii="仿宋_GB2312" w:hAnsi="仿宋_GB2312" w:eastAsia="仿宋_GB2312"/>
          <w:color w:val="000000"/>
          <w:sz w:val="32"/>
        </w:rPr>
        <w:t>，或项目已完成等产生的结余资金</w:t>
      </w:r>
      <w:r>
        <w:rPr>
          <w:rFonts w:ascii="仿宋_GB2312" w:hAnsi="仿宋_GB2312" w:eastAsia="仿宋_GB2312"/>
          <w:color w:val="000000"/>
          <w:sz w:val="32"/>
        </w:rPr>
        <w:t>。</w:t>
      </w:r>
      <w:r>
        <w:rPr>
          <w:rFonts w:hint="eastAsia" w:eastAsia="仿宋_GB2312"/>
          <w:sz w:val="32"/>
          <w:szCs w:val="32"/>
        </w:rPr>
        <w:t>反映我部门历年结转结余资金。</w:t>
      </w:r>
    </w:p>
    <w:p>
      <w:pPr>
        <w:spacing w:line="560" w:lineRule="exact"/>
        <w:ind w:firstLine="640" w:firstLineChars="200"/>
        <w:rPr>
          <w:rFonts w:eastAsia="仿宋_GB2312"/>
          <w:sz w:val="32"/>
          <w:szCs w:val="32"/>
        </w:rPr>
      </w:pPr>
      <w:r>
        <w:rPr>
          <w:rFonts w:hint="eastAsia" w:eastAsia="仿宋_GB2312"/>
          <w:sz w:val="32"/>
          <w:szCs w:val="32"/>
        </w:rPr>
        <w:t>（七）</w:t>
      </w:r>
      <w:r>
        <w:rPr>
          <w:rFonts w:eastAsia="仿宋_GB2312"/>
          <w:sz w:val="32"/>
          <w:szCs w:val="32"/>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w:t>
      </w:r>
      <w:r>
        <w:rPr>
          <w:rFonts w:hint="eastAsia" w:eastAsia="仿宋_GB2312"/>
          <w:sz w:val="32"/>
          <w:szCs w:val="32"/>
        </w:rPr>
        <w:t>反映我部门政府采购服务、货物、工程等情况。</w:t>
      </w:r>
    </w:p>
    <w:p>
      <w:pPr>
        <w:spacing w:line="560" w:lineRule="exact"/>
        <w:ind w:firstLine="640" w:firstLineChars="200"/>
        <w:rPr>
          <w:rFonts w:eastAsia="仿宋_GB2312"/>
          <w:sz w:val="32"/>
          <w:szCs w:val="32"/>
        </w:rPr>
      </w:pPr>
      <w:r>
        <w:rPr>
          <w:rFonts w:hint="eastAsia" w:eastAsia="仿宋_GB2312"/>
          <w:sz w:val="32"/>
          <w:szCs w:val="32"/>
        </w:rPr>
        <w:t>（八）</w:t>
      </w:r>
      <w:r>
        <w:rPr>
          <w:rFonts w:hint="eastAsia" w:ascii="仿宋_GB2312" w:eastAsia="仿宋_GB2312"/>
          <w:sz w:val="32"/>
          <w:szCs w:val="32"/>
        </w:rPr>
        <w:t>“</w:t>
      </w:r>
      <w:r>
        <w:rPr>
          <w:rFonts w:hint="eastAsia" w:eastAsia="仿宋_GB2312"/>
          <w:sz w:val="32"/>
          <w:szCs w:val="32"/>
        </w:rPr>
        <w:t>三公”经费：纳入省级财政预决算管理的“三公”经费，是指省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燃料费、维修费、过桥过路费、保险费、安全奖励费用等支出；公务接待费反映单位按规定开支的各类公务接待(含外宾接待)费用。反映我部门财政拨款安排的因公出国(境)费、公务用车购置及运行费和公务接待费。</w:t>
      </w:r>
    </w:p>
    <w:p>
      <w:pPr>
        <w:spacing w:line="560" w:lineRule="exact"/>
        <w:ind w:firstLine="640" w:firstLineChars="200"/>
        <w:rPr>
          <w:rFonts w:eastAsia="仿宋_GB2312"/>
          <w:sz w:val="32"/>
          <w:szCs w:val="32"/>
        </w:rPr>
      </w:pPr>
      <w:r>
        <w:rPr>
          <w:rFonts w:hint="eastAsia" w:eastAsia="仿宋_GB2312"/>
          <w:sz w:val="32"/>
          <w:szCs w:val="32"/>
        </w:rPr>
        <w:t>（九）</w:t>
      </w:r>
      <w:r>
        <w:rPr>
          <w:rFonts w:eastAsia="仿宋_GB2312"/>
          <w:sz w:val="32"/>
          <w:szCs w:val="32"/>
        </w:rPr>
        <w:t>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r>
        <w:rPr>
          <w:rFonts w:hint="eastAsia" w:eastAsia="仿宋_GB2312"/>
          <w:sz w:val="32"/>
          <w:szCs w:val="32"/>
        </w:rPr>
        <w:t>反映我部门经费拨款及资产收益安排的运转支出。</w:t>
      </w:r>
    </w:p>
    <w:p>
      <w:pPr>
        <w:spacing w:line="560" w:lineRule="exact"/>
        <w:ind w:firstLine="640" w:firstLineChars="200"/>
        <w:rPr>
          <w:rFonts w:eastAsia="仿宋_GB2312"/>
          <w:sz w:val="32"/>
          <w:szCs w:val="32"/>
        </w:rPr>
      </w:pPr>
      <w:r>
        <w:rPr>
          <w:rFonts w:hint="eastAsia" w:eastAsia="仿宋_GB2312"/>
          <w:sz w:val="32"/>
          <w:szCs w:val="32"/>
        </w:rPr>
        <w:t>（十）本部门使用的支出功能分类科目(到项级)</w:t>
      </w:r>
    </w:p>
    <w:p>
      <w:pPr>
        <w:pStyle w:val="2"/>
        <w:numPr>
          <w:ilvl w:val="0"/>
          <w:numId w:val="8"/>
        </w:numPr>
        <w:spacing w:line="560" w:lineRule="exact"/>
        <w:ind w:left="0" w:firstLine="640"/>
      </w:pPr>
      <w:r>
        <w:rPr>
          <w:rFonts w:hint="eastAsia"/>
          <w:szCs w:val="32"/>
        </w:rPr>
        <w:t>教育支出</w:t>
      </w:r>
      <w:r>
        <w:rPr>
          <w:rFonts w:hint="eastAsia" w:ascii="Times New Roman" w:hAnsi="Times New Roman"/>
          <w:szCs w:val="32"/>
        </w:rPr>
        <w:t>(类)</w:t>
      </w:r>
      <w:r>
        <w:rPr>
          <w:rFonts w:hint="eastAsia"/>
          <w:szCs w:val="32"/>
        </w:rPr>
        <w:t>普通教育</w:t>
      </w:r>
      <w:r>
        <w:rPr>
          <w:rFonts w:hint="eastAsia" w:ascii="Times New Roman" w:hAnsi="Times New Roman"/>
          <w:szCs w:val="32"/>
        </w:rPr>
        <w:t>(款)</w:t>
      </w:r>
      <w:r>
        <w:rPr>
          <w:rFonts w:hint="eastAsia"/>
          <w:szCs w:val="32"/>
        </w:rPr>
        <w:t>初中教育</w:t>
      </w:r>
      <w:r>
        <w:rPr>
          <w:rFonts w:hint="eastAsia" w:ascii="Times New Roman" w:hAnsi="Times New Roman"/>
          <w:szCs w:val="32"/>
        </w:rPr>
        <w:t>(项)</w:t>
      </w:r>
      <w:r>
        <w:rPr>
          <w:rFonts w:hint="eastAsia"/>
          <w:szCs w:val="32"/>
        </w:rPr>
        <w:t>，反映我部门子弟学校支出。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科学技术支出(类)科学技术管理事务(款)其他科学技术管理事务支出(项)，反映我部门农业科技管理支出。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科学技术支出(类)基础研究(款)自然科学基金(项)，反映我部门国家及省自然科学基金支出。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科学技术支出(类)基础研究(款)实验室及相关设施(项)，反映我部门实验室建设维护支出。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科学技术支出(类)技术研究与开发(款)机构运行(项)，反映我部门事业运行支出。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科学技术支出(类)技术研究与开发(款)其他技术研究与开发支出(项)，反映我部门农业科研技术服务、成果转化支出。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科学技术支出(类)科技条件与服务(款)其他科技条件与服务支出(项)，反映我部门农业科新技术、新模式推广支出。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科学技术支出(类)科技交流与合作(款)其他科技交流与合作支出(项)，反映我部门引智、合作交流支出。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科学技术支出(类)科技重大项目(款)重点研发计划(项)，反映我部门国家及省重点研发计划专项支出。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科学技术支出(类)其他科学技术支出(款)科技奖励(项)，反映我部门省部级科学技术奖励支出。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科学技术支出(类)其他科学技术支出(款)其他科学技术支出(项)，反映我部门农业科技基础及应用方面支出。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社会保障和就业支出(类)行政事业单位养老支出(款)机关事业单位基本养老保险缴费支出(项)，反映我部门人员社保保障缴费支出。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社会保障和就业支出(类)行政事业单位养老支出(款)机关事业单位职业年金缴费支出(项)，反映我部门人员职业年金支出。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社会保障和就业支出(类)行政事业单位养老支出(款)其他行政事业单位养老支出(项)，反映我部门人员社保保障缴费支出。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卫生健康支出(类)行政事业单位医疗(款)事业单位医疗(项)，反映我部门事业单位公费医疗拨款支出。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农林水支出(类)农业农村(款)科技转化与推广服务(项)，反映我部门农技推广支出。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农林水支出(类)农业农村(款)农产品质量安全(项)，反映我部门农产品质量检测支出。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农林水支出(类)农业农村(款)农业生产发展(项)，反映我部门农业生产发展，推广应用支出。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农林水支出(类)农业农村(款)其他农业农村支出(项)，反映我部门其他纵横向科研项目支出。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农林水支出(类)林业和草原(款)技术推广与转化(项)，反映我部门技术服务、成果转化支出。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农林水支出(类)巩固脱贫衔接乡村振兴(款)其他巩固脱贫衔接乡村振兴支出(项)，反映我部门农业产业链，壮大农业产业，助力乡村振兴支出。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商业服务业等支出(类)其他商业服务业等支出(款)其他商业服务业等支出(项)，反映我部门知识产权保护支出。</w:t>
      </w:r>
    </w:p>
    <w:p>
      <w:pPr>
        <w:numPr>
          <w:ilvl w:val="0"/>
          <w:numId w:val="8"/>
        </w:numPr>
        <w:spacing w:line="560" w:lineRule="exact"/>
        <w:ind w:left="0" w:firstLine="640" w:firstLineChars="200"/>
        <w:rPr>
          <w:rFonts w:eastAsia="仿宋_GB2312"/>
          <w:sz w:val="32"/>
          <w:szCs w:val="32"/>
        </w:rPr>
      </w:pPr>
      <w:r>
        <w:rPr>
          <w:rFonts w:hint="eastAsia" w:eastAsia="仿宋_GB2312"/>
          <w:sz w:val="32"/>
          <w:szCs w:val="32"/>
        </w:rPr>
        <w:t>粮油物资储备支出(类)粮油物资事务(款)其他粮油物资事务支出(项)，反映我部门种质资源保护利用支出。</w:t>
      </w:r>
    </w:p>
    <w:p>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(十二)结余分配：指事业单位按照会计制度规定缴纳的企业所得税、提取的专用结余以及转入非财政拨款结余的金额等。反映我部门事业结余分配情况。</w:t>
      </w:r>
    </w:p>
    <w:p>
      <w:pPr>
        <w:adjustRightInd w:val="0"/>
        <w:snapToGrid w:val="0"/>
        <w:spacing w:line="560" w:lineRule="exact"/>
        <w:ind w:firstLine="640" w:firstLineChars="200"/>
        <w:rPr>
          <w:rFonts w:ascii="仿宋_GB2312" w:hAnsi="仿宋_GB2312" w:eastAsia="仿宋_GB2312"/>
          <w:color w:val="000000"/>
          <w:sz w:val="32"/>
        </w:rPr>
      </w:pPr>
      <w:r>
        <w:rPr>
          <w:rFonts w:hint="eastAsia" w:ascii="仿宋_GB2312" w:eastAsia="仿宋_GB2312"/>
          <w:bCs/>
          <w:kern w:val="44"/>
          <w:sz w:val="32"/>
          <w:szCs w:val="32"/>
        </w:rPr>
        <w:t>(十三)使用非财政拨款结余：</w:t>
      </w:r>
      <w:r>
        <w:rPr>
          <w:rFonts w:ascii="仿宋_GB2312" w:hAnsi="仿宋_GB2312" w:eastAsia="仿宋_GB2312"/>
          <w:color w:val="000000"/>
          <w:sz w:val="32"/>
        </w:rPr>
        <w:t>指事业单位</w:t>
      </w:r>
      <w:r>
        <w:rPr>
          <w:rFonts w:hint="eastAsia" w:ascii="仿宋_GB2312" w:hAnsi="仿宋_GB2312" w:eastAsia="仿宋_GB2312"/>
          <w:color w:val="000000"/>
          <w:sz w:val="32"/>
        </w:rPr>
        <w:t>使用以前年度积累的非财政拨款结余弥补当年收支差额的金额。反映我部门使用非财政拨款结余弥补收支差的情况。</w:t>
      </w:r>
    </w:p>
    <w:p>
      <w:pPr>
        <w:pStyle w:val="2"/>
        <w:ind w:firstLine="640"/>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pStyle w:val="2"/>
        <w:ind w:firstLine="640"/>
        <w:rPr>
          <w:szCs w:val="32"/>
        </w:rPr>
      </w:pPr>
    </w:p>
    <w:p>
      <w:pPr>
        <w:rPr>
          <w:rFonts w:eastAsia="仿宋_GB2312"/>
          <w:sz w:val="32"/>
          <w:szCs w:val="32"/>
        </w:rPr>
      </w:pPr>
    </w:p>
    <w:p>
      <w:pPr>
        <w:pStyle w:val="2"/>
        <w:ind w:firstLine="640"/>
        <w:rPr>
          <w:szCs w:val="32"/>
        </w:rPr>
      </w:pPr>
    </w:p>
    <w:p>
      <w:r>
        <w:rPr>
          <w:rFonts w:eastAsia="仿宋_GB2312"/>
          <w:sz w:val="32"/>
          <w:szCs w:val="32"/>
        </w:rPr>
        <w:br w:type="page"/>
      </w:r>
    </w:p>
    <w:p>
      <w:pPr>
        <w:numPr>
          <w:ilvl w:val="0"/>
          <w:numId w:val="7"/>
        </w:numPr>
        <w:spacing w:line="560" w:lineRule="exact"/>
        <w:jc w:val="center"/>
        <w:rPr>
          <w:rFonts w:eastAsia="方正小标宋简体"/>
          <w:sz w:val="44"/>
          <w:szCs w:val="44"/>
        </w:rPr>
      </w:pPr>
      <w:r>
        <w:rPr>
          <w:rFonts w:eastAsia="黑体"/>
          <w:sz w:val="32"/>
          <w:szCs w:val="32"/>
        </w:rPr>
        <w:t xml:space="preserve">  </w:t>
      </w:r>
      <w:r>
        <w:rPr>
          <w:rFonts w:eastAsia="方正小标宋简体"/>
          <w:sz w:val="44"/>
          <w:szCs w:val="44"/>
        </w:rPr>
        <w:t>附件</w:t>
      </w:r>
    </w:p>
    <w:p>
      <w:pPr>
        <w:spacing w:line="560" w:lineRule="exact"/>
        <w:rPr>
          <w:rFonts w:eastAsia="方正小标宋简体"/>
          <w:sz w:val="44"/>
          <w:szCs w:val="44"/>
        </w:rPr>
      </w:pPr>
    </w:p>
    <w:tbl>
      <w:tblPr>
        <w:tblStyle w:val="7"/>
        <w:tblW w:w="9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07"/>
        <w:gridCol w:w="901"/>
        <w:gridCol w:w="815"/>
        <w:gridCol w:w="391"/>
        <w:gridCol w:w="1871"/>
        <w:gridCol w:w="619"/>
        <w:gridCol w:w="431"/>
        <w:gridCol w:w="1137"/>
        <w:gridCol w:w="559"/>
        <w:gridCol w:w="17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9" w:hRule="atLeast"/>
        </w:trPr>
        <w:tc>
          <w:tcPr>
            <w:tcW w:w="9280" w:type="dxa"/>
            <w:gridSpan w:val="10"/>
            <w:tcBorders>
              <w:top w:val="nil"/>
              <w:left w:val="nil"/>
              <w:bottom w:val="nil"/>
              <w:right w:val="nil"/>
            </w:tcBorders>
            <w:shd w:val="clear" w:color="auto" w:fill="auto"/>
            <w:tcMar>
              <w:top w:w="15" w:type="dxa"/>
              <w:left w:w="15" w:type="dxa"/>
              <w:right w:w="15" w:type="dxa"/>
            </w:tcMar>
            <w:vAlign w:val="top"/>
          </w:tcPr>
          <w:p>
            <w:pPr>
              <w:keepNext w:val="0"/>
              <w:keepLines w:val="0"/>
              <w:widowControl/>
              <w:suppressLineNumbers w:val="0"/>
              <w:ind w:firstLineChars="10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附件</w:t>
            </w:r>
            <w:r>
              <w:rPr>
                <w:rStyle w:val="14"/>
                <w:rFonts w:eastAsia="宋体"/>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28" w:hRule="atLeast"/>
        </w:trPr>
        <w:tc>
          <w:tcPr>
            <w:tcW w:w="928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 xml:space="preserve"> 2023 年度湖北省农业科学院南湖试验站部门整体绩效自评表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38" w:hRule="atLeast"/>
        </w:trPr>
        <w:tc>
          <w:tcPr>
            <w:tcW w:w="928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ind w:firstLineChars="100"/>
              <w:jc w:val="left"/>
              <w:textAlignment w:val="center"/>
              <w:rPr>
                <w:rFonts w:ascii="楷体" w:hAnsi="楷体" w:eastAsia="楷体" w:cs="楷体"/>
                <w:i w:val="0"/>
                <w:color w:val="000000"/>
                <w:sz w:val="24"/>
                <w:szCs w:val="24"/>
                <w:u w:val="none"/>
              </w:rPr>
            </w:pPr>
            <w:r>
              <w:rPr>
                <w:rFonts w:hint="eastAsia" w:ascii="楷体" w:hAnsi="楷体" w:eastAsia="楷体" w:cs="楷体"/>
                <w:i w:val="0"/>
                <w:color w:val="000000"/>
                <w:kern w:val="0"/>
                <w:sz w:val="24"/>
                <w:szCs w:val="24"/>
                <w:u w:val="none"/>
                <w:lang w:val="en-US" w:eastAsia="zh-CN" w:bidi="ar"/>
              </w:rPr>
              <w:t xml:space="preserve"> 单位名称：湖北省农业科学院南湖试验站                           填报日期：2024年4月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6" w:hRule="atLeast"/>
        </w:trPr>
        <w:tc>
          <w:tcPr>
            <w:tcW w:w="25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w:t>
            </w:r>
          </w:p>
        </w:tc>
        <w:tc>
          <w:tcPr>
            <w:tcW w:w="675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湖北省农业科学院南湖试验站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25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基本支出总额</w:t>
            </w:r>
          </w:p>
        </w:tc>
        <w:tc>
          <w:tcPr>
            <w:tcW w:w="28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3519.09万元</w:t>
            </w:r>
          </w:p>
        </w:tc>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项目支出总额</w:t>
            </w:r>
          </w:p>
        </w:tc>
        <w:tc>
          <w:tcPr>
            <w:tcW w:w="2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390.68万元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62" w:hRule="atLeast"/>
        </w:trPr>
        <w:tc>
          <w:tcPr>
            <w:tcW w:w="25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年度目标</w:t>
            </w:r>
          </w:p>
        </w:tc>
        <w:tc>
          <w:tcPr>
            <w:tcW w:w="675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聚焦于土地管理、平安建设、人事人才、改革创新和服务科研等关键领域，旨在通过制度完善、责任压实、规范管理、支持发展和科研服务等措施，推动南湖试验站的可持续发展。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3" w:hRule="atLeast"/>
        </w:trPr>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绩效</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指标分类</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年初目标值（A）</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实际完成值（B）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运行成本</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公用经费控制</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公用经费控制率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在职人员控制</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在职人员控制率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022"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管理效率</w:t>
            </w: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项目支出成本</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控制</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会议费控制率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“三公经费”变</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动率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战略管理</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中长期规划相符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相符</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工作计划健全性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健全</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健全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98"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预算编制科学性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内容真实、完整、准确</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内容真实、完整、准确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预算编制合理性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合理</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6"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立项规范性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规范</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6"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预算调整率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调整比率≤0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调整比率≤0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6"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6"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结转结余率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政府采购执行率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非税收入预算完</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成率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2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绩效管理</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事前绩效评估完成率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211"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绩效目标合理性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绩效监控开展率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4"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绩效评价覆盖率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146"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评价结果应用率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5"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资产管理</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资产管理制度健全性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健全</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健全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06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资产管理规范性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规范</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96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财务管理</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财务管理制度健全性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健全</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健全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369"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会计核算规范性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规范</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186"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资金使用合规性</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合规</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年度绩效指标</w:t>
            </w:r>
          </w:p>
        </w:tc>
        <w:tc>
          <w:tcPr>
            <w:tcW w:w="90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效能</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核心业务产出 1</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维护南湖核心试验田</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核心业务产出 2</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完成对诺沃公司的追加投资</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195万元</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效应</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经济效益</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实现收益 </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万元</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2571820.98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国有资产收益管理及资金运转安全</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得到确保</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得到确保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续发</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展能</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力</w:t>
            </w: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体制机制改革</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服务体制改革成效</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行政管理体制改革  成效</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518"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人才支撑</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业务学习与培训    完成率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62"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干部队伍体系建设  规划情况</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具备制度支撑，符合本单位发展需求。</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具备制度支撑，符合本单位发展需求。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518"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高学历、高层次人才储备率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62"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科技支撐</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信息化建设情况</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创新型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充分运用信息化手段提升工作效率及管理效能</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充分运用信息化手段提升工作效率及管理效能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度</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站内职工满意度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7" w:hRule="atLeast"/>
        </w:trPr>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联系部门满意度</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科研单位满意度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基本型</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31"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偏差大或目标未完</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成原因分析</w:t>
            </w:r>
          </w:p>
        </w:tc>
        <w:tc>
          <w:tcPr>
            <w:tcW w:w="757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政府采购执行率低的主要原因是 2023 年度武汉地铁十二号线及南湖城市副中心规划等市政建设工程未开展，地块未征收。综合事务工作项目中针对该辖区预算的维修维护工程及构筑物工程无法实施，导致本年度该项目执行率偏低。</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湖北省农科院南湖试验站是省农科院直属的公益二类单位，主要承担农作物育种、栽培、植保、土肥等方面科研成果的中试和示范任务。本年度无高层次人才培养及储备计划。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92"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改进措施及结果应</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用方案</w:t>
            </w:r>
          </w:p>
        </w:tc>
        <w:tc>
          <w:tcPr>
            <w:tcW w:w="757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已针对2024年度辖区内地块征收配套综合事务工作方案做出调整，调减物业费、维修费及相关工作中的其他资本性支出。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3" w:hRule="atLeast"/>
        </w:trPr>
        <w:tc>
          <w:tcPr>
            <w:tcW w:w="9280" w:type="dxa"/>
            <w:gridSpan w:val="10"/>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ind w:firstLineChars="100"/>
              <w:jc w:val="left"/>
              <w:textAlignment w:val="bottom"/>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 xml:space="preserve"> 备注：基于经济性和必要性等因素考虑，满意度指标暂可不作为必评指标。</w:t>
            </w:r>
          </w:p>
        </w:tc>
      </w:tr>
    </w:tbl>
    <w:p>
      <w:pPr>
        <w:widowControl/>
        <w:spacing w:line="20" w:lineRule="exact"/>
        <w:jc w:val="left"/>
        <w:rPr>
          <w:rFonts w:eastAsia="楷体"/>
          <w:color w:val="000000"/>
          <w:kern w:val="0"/>
          <w:sz w:val="30"/>
          <w:szCs w:val="30"/>
        </w:rPr>
      </w:pPr>
    </w:p>
    <w:sectPr>
      <w:pgSz w:w="11906" w:h="16838"/>
      <w:pgMar w:top="1440" w:right="1803" w:bottom="1440" w:left="1803" w:header="851" w:footer="992"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38</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674752"/>
    <w:multiLevelType w:val="singleLevel"/>
    <w:tmpl w:val="87674752"/>
    <w:lvl w:ilvl="0" w:tentative="0">
      <w:start w:val="4"/>
      <w:numFmt w:val="chineseCounting"/>
      <w:suff w:val="space"/>
      <w:lvlText w:val="第%1部分"/>
      <w:lvlJc w:val="left"/>
      <w:rPr>
        <w:rFonts w:hint="eastAsia"/>
      </w:rPr>
    </w:lvl>
  </w:abstractNum>
  <w:abstractNum w:abstractNumId="1">
    <w:nsid w:val="AFB00F99"/>
    <w:multiLevelType w:val="singleLevel"/>
    <w:tmpl w:val="AFB00F99"/>
    <w:lvl w:ilvl="0" w:tentative="0">
      <w:start w:val="6"/>
      <w:numFmt w:val="chineseCounting"/>
      <w:suff w:val="nothing"/>
      <w:lvlText w:val="%1、"/>
      <w:lvlJc w:val="left"/>
      <w:rPr>
        <w:rFonts w:hint="eastAsia"/>
      </w:rPr>
    </w:lvl>
  </w:abstractNum>
  <w:abstractNum w:abstractNumId="2">
    <w:nsid w:val="B25813CF"/>
    <w:multiLevelType w:val="singleLevel"/>
    <w:tmpl w:val="B25813CF"/>
    <w:lvl w:ilvl="0" w:tentative="0">
      <w:start w:val="1"/>
      <w:numFmt w:val="chineseCounting"/>
      <w:suff w:val="space"/>
      <w:lvlText w:val="第%1部分"/>
      <w:lvlJc w:val="left"/>
      <w:rPr>
        <w:rFonts w:hint="eastAsia"/>
      </w:rPr>
    </w:lvl>
  </w:abstractNum>
  <w:abstractNum w:abstractNumId="3">
    <w:nsid w:val="D40F4007"/>
    <w:multiLevelType w:val="singleLevel"/>
    <w:tmpl w:val="D40F4007"/>
    <w:lvl w:ilvl="0" w:tentative="0">
      <w:start w:val="2"/>
      <w:numFmt w:val="decimal"/>
      <w:lvlText w:val="%1."/>
      <w:lvlJc w:val="left"/>
      <w:pPr>
        <w:tabs>
          <w:tab w:val="left" w:pos="312"/>
        </w:tabs>
      </w:pPr>
    </w:lvl>
  </w:abstractNum>
  <w:abstractNum w:abstractNumId="4">
    <w:nsid w:val="17F7D2C6"/>
    <w:multiLevelType w:val="singleLevel"/>
    <w:tmpl w:val="17F7D2C6"/>
    <w:lvl w:ilvl="0" w:tentative="0">
      <w:start w:val="1"/>
      <w:numFmt w:val="decimal"/>
      <w:lvlText w:val="%1."/>
      <w:lvlJc w:val="left"/>
      <w:pPr>
        <w:ind w:left="425" w:hanging="425"/>
      </w:pPr>
      <w:rPr>
        <w:rFonts w:hint="default" w:ascii="Times New Roman" w:hAnsi="Times New Roman" w:cs="Times New Roman"/>
      </w:rPr>
    </w:lvl>
  </w:abstractNum>
  <w:abstractNum w:abstractNumId="5">
    <w:nsid w:val="34576B9D"/>
    <w:multiLevelType w:val="singleLevel"/>
    <w:tmpl w:val="34576B9D"/>
    <w:lvl w:ilvl="0" w:tentative="0">
      <w:start w:val="3"/>
      <w:numFmt w:val="chineseCounting"/>
      <w:suff w:val="nothing"/>
      <w:lvlText w:val="（%1）"/>
      <w:lvlJc w:val="left"/>
      <w:rPr>
        <w:rFonts w:hint="eastAsia"/>
      </w:rPr>
    </w:lvl>
  </w:abstractNum>
  <w:abstractNum w:abstractNumId="6">
    <w:nsid w:val="6D9F7CB7"/>
    <w:multiLevelType w:val="singleLevel"/>
    <w:tmpl w:val="6D9F7CB7"/>
    <w:lvl w:ilvl="0" w:tentative="0">
      <w:start w:val="1"/>
      <w:numFmt w:val="decimal"/>
      <w:lvlText w:val="%1."/>
      <w:lvlJc w:val="left"/>
      <w:pPr>
        <w:ind w:left="425" w:hanging="425"/>
      </w:pPr>
      <w:rPr>
        <w:rFonts w:hint="default"/>
        <w:color w:val="auto"/>
        <w:sz w:val="32"/>
        <w:szCs w:val="32"/>
      </w:rPr>
    </w:lvl>
  </w:abstractNum>
  <w:abstractNum w:abstractNumId="7">
    <w:nsid w:val="7D3AAE76"/>
    <w:multiLevelType w:val="singleLevel"/>
    <w:tmpl w:val="7D3AAE76"/>
    <w:lvl w:ilvl="0" w:tentative="0">
      <w:start w:val="1"/>
      <w:numFmt w:val="decimal"/>
      <w:lvlText w:val="%1."/>
      <w:lvlJc w:val="left"/>
      <w:pPr>
        <w:tabs>
          <w:tab w:val="left" w:pos="312"/>
        </w:tabs>
      </w:pPr>
      <w:rPr>
        <w:rFonts w:hint="default"/>
        <w:sz w:val="32"/>
        <w:szCs w:val="32"/>
      </w:rPr>
    </w:lvl>
  </w:abstractNum>
  <w:num w:numId="1">
    <w:abstractNumId w:val="2"/>
  </w:num>
  <w:num w:numId="2">
    <w:abstractNumId w:val="7"/>
  </w:num>
  <w:num w:numId="3">
    <w:abstractNumId w:val="6"/>
  </w:num>
  <w:num w:numId="4">
    <w:abstractNumId w:val="1"/>
  </w:num>
  <w:num w:numId="5">
    <w:abstractNumId w:val="3"/>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YTA4MmRhNDllNjkzY2YyMWM5YzExMGVhMTU4MDgifQ=="/>
  </w:docVars>
  <w:rsids>
    <w:rsidRoot w:val="656E397D"/>
    <w:rsid w:val="004423D4"/>
    <w:rsid w:val="005F7EFA"/>
    <w:rsid w:val="00631A02"/>
    <w:rsid w:val="00736A27"/>
    <w:rsid w:val="009230A6"/>
    <w:rsid w:val="009F337C"/>
    <w:rsid w:val="00C1066C"/>
    <w:rsid w:val="00F73B85"/>
    <w:rsid w:val="00FA11EE"/>
    <w:rsid w:val="00FA380C"/>
    <w:rsid w:val="01A3073B"/>
    <w:rsid w:val="0253288D"/>
    <w:rsid w:val="03CF2145"/>
    <w:rsid w:val="04454E9F"/>
    <w:rsid w:val="04714F10"/>
    <w:rsid w:val="04AC5B58"/>
    <w:rsid w:val="04BA0275"/>
    <w:rsid w:val="057D7561"/>
    <w:rsid w:val="058F69C7"/>
    <w:rsid w:val="059E36F3"/>
    <w:rsid w:val="05B80C59"/>
    <w:rsid w:val="05E577A5"/>
    <w:rsid w:val="069D746D"/>
    <w:rsid w:val="06C74ECC"/>
    <w:rsid w:val="06D97686"/>
    <w:rsid w:val="0732623A"/>
    <w:rsid w:val="07D63618"/>
    <w:rsid w:val="080F08D8"/>
    <w:rsid w:val="081E4FBF"/>
    <w:rsid w:val="0831084F"/>
    <w:rsid w:val="08586516"/>
    <w:rsid w:val="085E6ADF"/>
    <w:rsid w:val="086E759A"/>
    <w:rsid w:val="088A139A"/>
    <w:rsid w:val="08DF474E"/>
    <w:rsid w:val="09E3201C"/>
    <w:rsid w:val="0AA7304A"/>
    <w:rsid w:val="0B64718D"/>
    <w:rsid w:val="0B655BB3"/>
    <w:rsid w:val="0BFA4056"/>
    <w:rsid w:val="0C3628D7"/>
    <w:rsid w:val="0C3B4B55"/>
    <w:rsid w:val="0C886EAB"/>
    <w:rsid w:val="0CBD2C45"/>
    <w:rsid w:val="0D3C1260"/>
    <w:rsid w:val="0E9953A0"/>
    <w:rsid w:val="0ED62150"/>
    <w:rsid w:val="0F423341"/>
    <w:rsid w:val="0F435DE4"/>
    <w:rsid w:val="104D4694"/>
    <w:rsid w:val="106E1C16"/>
    <w:rsid w:val="108C51BC"/>
    <w:rsid w:val="10993435"/>
    <w:rsid w:val="10CC380A"/>
    <w:rsid w:val="11D16BFE"/>
    <w:rsid w:val="12B55018"/>
    <w:rsid w:val="13622204"/>
    <w:rsid w:val="138E4062"/>
    <w:rsid w:val="141F6347"/>
    <w:rsid w:val="149F4D92"/>
    <w:rsid w:val="14B1363E"/>
    <w:rsid w:val="155344FA"/>
    <w:rsid w:val="15AD51FE"/>
    <w:rsid w:val="16873D30"/>
    <w:rsid w:val="18365A0D"/>
    <w:rsid w:val="18826EA4"/>
    <w:rsid w:val="18C4170E"/>
    <w:rsid w:val="18D771F0"/>
    <w:rsid w:val="197C38F4"/>
    <w:rsid w:val="1A0D4930"/>
    <w:rsid w:val="1A1678A4"/>
    <w:rsid w:val="1ADF238C"/>
    <w:rsid w:val="1B265A89"/>
    <w:rsid w:val="1B2E7BE9"/>
    <w:rsid w:val="1BA21535"/>
    <w:rsid w:val="1BC61FBF"/>
    <w:rsid w:val="1C551992"/>
    <w:rsid w:val="1CB3031E"/>
    <w:rsid w:val="1D7768AC"/>
    <w:rsid w:val="1EF134BB"/>
    <w:rsid w:val="1EFA3FB6"/>
    <w:rsid w:val="1F374545"/>
    <w:rsid w:val="1F4E1D28"/>
    <w:rsid w:val="1FE87F35"/>
    <w:rsid w:val="20142AD8"/>
    <w:rsid w:val="212F3070"/>
    <w:rsid w:val="22517477"/>
    <w:rsid w:val="22E758D0"/>
    <w:rsid w:val="23154EDB"/>
    <w:rsid w:val="24DF4487"/>
    <w:rsid w:val="24EB2960"/>
    <w:rsid w:val="25394892"/>
    <w:rsid w:val="25AC730F"/>
    <w:rsid w:val="25B478E2"/>
    <w:rsid w:val="269F5FCA"/>
    <w:rsid w:val="26AA7CF2"/>
    <w:rsid w:val="270513CC"/>
    <w:rsid w:val="27642EE2"/>
    <w:rsid w:val="277B51EB"/>
    <w:rsid w:val="278227B6"/>
    <w:rsid w:val="27A209C9"/>
    <w:rsid w:val="284F1B73"/>
    <w:rsid w:val="28A63717"/>
    <w:rsid w:val="28CE74FD"/>
    <w:rsid w:val="29053FDD"/>
    <w:rsid w:val="293A32D8"/>
    <w:rsid w:val="294E705B"/>
    <w:rsid w:val="295959FF"/>
    <w:rsid w:val="29712D49"/>
    <w:rsid w:val="29B746CA"/>
    <w:rsid w:val="2A73664D"/>
    <w:rsid w:val="2AE86CCA"/>
    <w:rsid w:val="2C212804"/>
    <w:rsid w:val="2C433AF7"/>
    <w:rsid w:val="2C6E3570"/>
    <w:rsid w:val="2C7F758E"/>
    <w:rsid w:val="2CD2219E"/>
    <w:rsid w:val="2CEF46B1"/>
    <w:rsid w:val="2D1759B5"/>
    <w:rsid w:val="2D30186F"/>
    <w:rsid w:val="2D517D0A"/>
    <w:rsid w:val="2E6E5AA9"/>
    <w:rsid w:val="2E8E3C99"/>
    <w:rsid w:val="2EFC1307"/>
    <w:rsid w:val="2F3A598B"/>
    <w:rsid w:val="30072A81"/>
    <w:rsid w:val="31081DC8"/>
    <w:rsid w:val="31162420"/>
    <w:rsid w:val="317653A0"/>
    <w:rsid w:val="321D3A6E"/>
    <w:rsid w:val="32676A97"/>
    <w:rsid w:val="32F742BF"/>
    <w:rsid w:val="33534246"/>
    <w:rsid w:val="3390201E"/>
    <w:rsid w:val="33E12879"/>
    <w:rsid w:val="34D446D0"/>
    <w:rsid w:val="34F34F5A"/>
    <w:rsid w:val="35815A13"/>
    <w:rsid w:val="35A3232F"/>
    <w:rsid w:val="369B7657"/>
    <w:rsid w:val="36E52680"/>
    <w:rsid w:val="3724764D"/>
    <w:rsid w:val="38754C66"/>
    <w:rsid w:val="38BB67BA"/>
    <w:rsid w:val="39543E64"/>
    <w:rsid w:val="399E644E"/>
    <w:rsid w:val="39A95915"/>
    <w:rsid w:val="39C16F6A"/>
    <w:rsid w:val="39D864CC"/>
    <w:rsid w:val="39FD5F33"/>
    <w:rsid w:val="3A6A6102"/>
    <w:rsid w:val="3B057795"/>
    <w:rsid w:val="3BA93A3F"/>
    <w:rsid w:val="3CB66CEE"/>
    <w:rsid w:val="3CBB45AF"/>
    <w:rsid w:val="3D1A30C6"/>
    <w:rsid w:val="3DA65D77"/>
    <w:rsid w:val="401069C0"/>
    <w:rsid w:val="406A5A94"/>
    <w:rsid w:val="40A96C24"/>
    <w:rsid w:val="40BD247F"/>
    <w:rsid w:val="40BF3F42"/>
    <w:rsid w:val="40F0234E"/>
    <w:rsid w:val="41464844"/>
    <w:rsid w:val="4149061B"/>
    <w:rsid w:val="421B789E"/>
    <w:rsid w:val="424B55BC"/>
    <w:rsid w:val="42CB110D"/>
    <w:rsid w:val="430815A1"/>
    <w:rsid w:val="447B3F61"/>
    <w:rsid w:val="4517434D"/>
    <w:rsid w:val="45C314DA"/>
    <w:rsid w:val="45E22BAD"/>
    <w:rsid w:val="46040D75"/>
    <w:rsid w:val="463828EA"/>
    <w:rsid w:val="47AF6ABF"/>
    <w:rsid w:val="47D93B3C"/>
    <w:rsid w:val="47E60276"/>
    <w:rsid w:val="4880045B"/>
    <w:rsid w:val="491875A9"/>
    <w:rsid w:val="4A151CD4"/>
    <w:rsid w:val="4A8F0E29"/>
    <w:rsid w:val="4AAD11DC"/>
    <w:rsid w:val="4B9F6E4A"/>
    <w:rsid w:val="4BA727DC"/>
    <w:rsid w:val="4BAD707F"/>
    <w:rsid w:val="4BBE4AF0"/>
    <w:rsid w:val="4BDE77B0"/>
    <w:rsid w:val="4CF84032"/>
    <w:rsid w:val="4D471F84"/>
    <w:rsid w:val="4D970721"/>
    <w:rsid w:val="4E105DDD"/>
    <w:rsid w:val="4E93713A"/>
    <w:rsid w:val="4EBB1C25"/>
    <w:rsid w:val="4F075432"/>
    <w:rsid w:val="4F165675"/>
    <w:rsid w:val="4F2D22C2"/>
    <w:rsid w:val="4FA15887"/>
    <w:rsid w:val="502C5EE0"/>
    <w:rsid w:val="5075461D"/>
    <w:rsid w:val="509251CF"/>
    <w:rsid w:val="50CA4969"/>
    <w:rsid w:val="513A55F8"/>
    <w:rsid w:val="51904D0E"/>
    <w:rsid w:val="520D7203"/>
    <w:rsid w:val="523A78CD"/>
    <w:rsid w:val="527C6CA6"/>
    <w:rsid w:val="52D93AE7"/>
    <w:rsid w:val="53373E0C"/>
    <w:rsid w:val="53745413"/>
    <w:rsid w:val="539F3719"/>
    <w:rsid w:val="53B30B89"/>
    <w:rsid w:val="53FC4407"/>
    <w:rsid w:val="5444625D"/>
    <w:rsid w:val="54560E7E"/>
    <w:rsid w:val="55151531"/>
    <w:rsid w:val="553625CD"/>
    <w:rsid w:val="55800B30"/>
    <w:rsid w:val="561623FF"/>
    <w:rsid w:val="56C105BC"/>
    <w:rsid w:val="56FA587C"/>
    <w:rsid w:val="589F66DB"/>
    <w:rsid w:val="58BA31BA"/>
    <w:rsid w:val="58EF7663"/>
    <w:rsid w:val="59926803"/>
    <w:rsid w:val="59E641FF"/>
    <w:rsid w:val="5A0F0592"/>
    <w:rsid w:val="5AC71F19"/>
    <w:rsid w:val="5C7F2AAC"/>
    <w:rsid w:val="5D4B0BE0"/>
    <w:rsid w:val="5D980951"/>
    <w:rsid w:val="5DC81A93"/>
    <w:rsid w:val="5DF43A30"/>
    <w:rsid w:val="61B20BC3"/>
    <w:rsid w:val="62404C02"/>
    <w:rsid w:val="629A541E"/>
    <w:rsid w:val="62C70878"/>
    <w:rsid w:val="63F4274A"/>
    <w:rsid w:val="641E79ED"/>
    <w:rsid w:val="6511270F"/>
    <w:rsid w:val="656E397D"/>
    <w:rsid w:val="67617389"/>
    <w:rsid w:val="67C95523"/>
    <w:rsid w:val="680509D5"/>
    <w:rsid w:val="68BC0BE4"/>
    <w:rsid w:val="68CE4F2B"/>
    <w:rsid w:val="69687B02"/>
    <w:rsid w:val="6A0671D7"/>
    <w:rsid w:val="6A4969EE"/>
    <w:rsid w:val="6A603310"/>
    <w:rsid w:val="6A880A51"/>
    <w:rsid w:val="6B3E4D40"/>
    <w:rsid w:val="6B910106"/>
    <w:rsid w:val="6C81017A"/>
    <w:rsid w:val="6CB22A29"/>
    <w:rsid w:val="6D4D4500"/>
    <w:rsid w:val="6DB97DE8"/>
    <w:rsid w:val="6E066B2A"/>
    <w:rsid w:val="6E13574A"/>
    <w:rsid w:val="6E2E4332"/>
    <w:rsid w:val="6F467459"/>
    <w:rsid w:val="6F54013B"/>
    <w:rsid w:val="6F9E19FF"/>
    <w:rsid w:val="701A21AA"/>
    <w:rsid w:val="70C8281B"/>
    <w:rsid w:val="710B6BAC"/>
    <w:rsid w:val="72C0575A"/>
    <w:rsid w:val="731F06ED"/>
    <w:rsid w:val="732C3A42"/>
    <w:rsid w:val="738F0A18"/>
    <w:rsid w:val="7463285B"/>
    <w:rsid w:val="746D0A93"/>
    <w:rsid w:val="74856C75"/>
    <w:rsid w:val="757740ED"/>
    <w:rsid w:val="757F5473"/>
    <w:rsid w:val="77BD414E"/>
    <w:rsid w:val="77C16217"/>
    <w:rsid w:val="77E017C6"/>
    <w:rsid w:val="77E141C3"/>
    <w:rsid w:val="77E872FF"/>
    <w:rsid w:val="78A53442"/>
    <w:rsid w:val="78CD2BDF"/>
    <w:rsid w:val="79B24069"/>
    <w:rsid w:val="79EE3AB9"/>
    <w:rsid w:val="7A5C6838"/>
    <w:rsid w:val="7AA37E55"/>
    <w:rsid w:val="7AA514BC"/>
    <w:rsid w:val="7C240B22"/>
    <w:rsid w:val="7C66113B"/>
    <w:rsid w:val="7D341200"/>
    <w:rsid w:val="7D6733BC"/>
    <w:rsid w:val="7DAE4B47"/>
    <w:rsid w:val="7DB2617E"/>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rPr>
      <w:rFonts w:ascii="Calibri" w:hAnsi="Calibri"/>
    </w:rPr>
  </w:style>
  <w:style w:type="paragraph" w:styleId="3">
    <w:name w:val="Body Text Indent"/>
    <w:basedOn w:val="1"/>
    <w:qFormat/>
    <w:uiPriority w:val="0"/>
    <w:pPr>
      <w:ind w:firstLine="630"/>
    </w:pPr>
    <w:rPr>
      <w:rFonts w:ascii="仿宋_GB2312" w:eastAsia="仿宋_GB2312"/>
      <w:sz w:val="32"/>
    </w:r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font11"/>
    <w:qFormat/>
    <w:uiPriority w:val="0"/>
    <w:rPr>
      <w:rFonts w:hint="eastAsia" w:ascii="仿宋" w:hAnsi="仿宋" w:eastAsia="仿宋" w:cs="仿宋"/>
      <w:color w:val="000000"/>
      <w:sz w:val="24"/>
      <w:szCs w:val="24"/>
      <w:u w:val="none"/>
    </w:rPr>
  </w:style>
  <w:style w:type="paragraph" w:customStyle="1" w:styleId="10">
    <w:name w:val="正文缩进 + 首行缩进:  2 字符"/>
    <w:basedOn w:val="1"/>
    <w:qFormat/>
    <w:uiPriority w:val="0"/>
    <w:pPr>
      <w:spacing w:line="560" w:lineRule="exact"/>
      <w:ind w:firstLine="640"/>
    </w:pPr>
    <w:rPr>
      <w:rFonts w:ascii="仿宋" w:hAnsi="仿宋" w:eastAsia="仿宋" w:cs="宋体"/>
      <w:sz w:val="32"/>
    </w:rPr>
  </w:style>
  <w:style w:type="paragraph" w:customStyle="1" w:styleId="11">
    <w:name w:val="Body text|1"/>
    <w:basedOn w:val="1"/>
    <w:qFormat/>
    <w:uiPriority w:val="0"/>
    <w:pPr>
      <w:spacing w:line="451" w:lineRule="auto"/>
      <w:ind w:firstLine="400"/>
      <w:jc w:val="left"/>
    </w:pPr>
    <w:rPr>
      <w:rFonts w:ascii="宋体" w:hAnsi="宋体" w:cs="宋体"/>
      <w:sz w:val="28"/>
      <w:szCs w:val="28"/>
      <w:lang w:val="zh-TW" w:eastAsia="zh-TW" w:bidi="zh-TW"/>
    </w:rPr>
  </w:style>
  <w:style w:type="character" w:customStyle="1" w:styleId="12">
    <w:name w:val="批注框文本 Char"/>
    <w:basedOn w:val="8"/>
    <w:link w:val="4"/>
    <w:qFormat/>
    <w:uiPriority w:val="0"/>
    <w:rPr>
      <w:rFonts w:ascii="Times New Roman" w:hAnsi="Times New Roman" w:eastAsia="宋体" w:cs="Times New Roman"/>
      <w:kern w:val="2"/>
      <w:sz w:val="18"/>
      <w:szCs w:val="18"/>
    </w:rPr>
  </w:style>
  <w:style w:type="paragraph" w:customStyle="1" w:styleId="13">
    <w:name w:val="列出段落1"/>
    <w:basedOn w:val="1"/>
    <w:qFormat/>
    <w:uiPriority w:val="34"/>
    <w:pPr>
      <w:ind w:firstLine="420" w:firstLineChars="200"/>
    </w:pPr>
  </w:style>
  <w:style w:type="character" w:customStyle="1" w:styleId="14">
    <w:name w:val="font51"/>
    <w:basedOn w:val="8"/>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cap="none" spc="0" normalizeH="0" baseline="0">
                <a:solidFill>
                  <a:schemeClr val="dk1">
                    <a:lumMod val="50000"/>
                    <a:lumOff val="50000"/>
                  </a:schemeClr>
                </a:solidFill>
                <a:latin typeface="+mj-lt"/>
                <a:ea typeface="+mj-ea"/>
                <a:cs typeface="+mj-cs"/>
              </a:defRPr>
            </a:pPr>
            <a:r>
              <a:t>南湖站2022年度</a:t>
            </a:r>
          </a:p>
          <a:p>
            <a:pPr defTabSz="914400">
              <a:defRPr lang="zh-CN" sz="1600" b="1" i="0" u="none" strike="noStrike" kern="1200" cap="none" spc="0" normalizeH="0" baseline="0">
                <a:solidFill>
                  <a:schemeClr val="dk1">
                    <a:lumMod val="50000"/>
                    <a:lumOff val="50000"/>
                  </a:schemeClr>
                </a:solidFill>
                <a:latin typeface="+mj-lt"/>
                <a:ea typeface="+mj-ea"/>
                <a:cs typeface="+mj-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南湖站收、支决算总计变动情况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dk1">
                          <a:lumMod val="35000"/>
                          <a:lumOff val="65000"/>
                        </a:schemeClr>
                      </a:solidFill>
                      <a:round/>
                    </a:ln>
                    <a:effectLst/>
                  </c:spPr>
                </c15:leaderLines>
              </c:ext>
            </c:extLst>
          </c:dLbls>
          <c:cat>
            <c:strRef>
              <c:f>Sheet1!$A$2:$A$3</c:f>
              <c:strCache>
                <c:ptCount val="2"/>
                <c:pt idx="0">
                  <c:v>2022年度</c:v>
                </c:pt>
                <c:pt idx="1">
                  <c:v>2023年度</c:v>
                </c:pt>
              </c:strCache>
            </c:strRef>
          </c:cat>
          <c:val>
            <c:numRef>
              <c:f>Sheet1!$B$2:$B$3</c:f>
              <c:numCache>
                <c:formatCode>General</c:formatCode>
                <c:ptCount val="2"/>
                <c:pt idx="0">
                  <c:v>4779.56</c:v>
                </c:pt>
                <c:pt idx="1">
                  <c:v>4342.85</c:v>
                </c:pt>
              </c:numCache>
            </c:numRef>
          </c:val>
        </c:ser>
        <c:dLbls>
          <c:showLegendKey val="0"/>
          <c:showVal val="1"/>
          <c:showCatName val="0"/>
          <c:showSerName val="0"/>
          <c:showPercent val="0"/>
          <c:showBubbleSize val="0"/>
        </c:dLbls>
        <c:gapWidth val="267"/>
        <c:overlap val="-43"/>
        <c:axId val="222216453"/>
        <c:axId val="827448765"/>
      </c:barChart>
      <c:catAx>
        <c:axId val="222216453"/>
        <c:scaling>
          <c:orientation val="minMax"/>
        </c:scaling>
        <c:delete val="0"/>
        <c:axPos val="b"/>
        <c:majorGridlines>
          <c:spPr>
            <a:ln w="9525" cap="flat" cmpd="sng" algn="ctr">
              <a:solidFill>
                <a:schemeClr val="dk1">
                  <a:lumMod val="15000"/>
                  <a:lumOff val="85000"/>
                </a:schemeClr>
              </a:solidFill>
              <a:round/>
            </a:ln>
            <a:effectLst/>
          </c:spPr>
        </c:majorGridlines>
        <c:majorTickMark val="none"/>
        <c:minorTickMark val="none"/>
        <c:tickLblPos val="nextTo"/>
        <c:spPr>
          <a:noFill/>
          <a:ln w="9525" cap="flat" cmpd="sng" algn="ctr">
            <a:solidFill>
              <a:schemeClr val="dk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chemeClr val="dk1">
                    <a:lumMod val="65000"/>
                    <a:lumOff val="35000"/>
                  </a:schemeClr>
                </a:solidFill>
                <a:latin typeface="+mn-lt"/>
                <a:ea typeface="+mn-ea"/>
                <a:cs typeface="+mn-cs"/>
              </a:defRPr>
            </a:pPr>
          </a:p>
        </c:txPr>
        <c:crossAx val="827448765"/>
        <c:crosses val="autoZero"/>
        <c:auto val="1"/>
        <c:lblAlgn val="ctr"/>
        <c:lblOffset val="100"/>
        <c:noMultiLvlLbl val="0"/>
      </c:catAx>
      <c:valAx>
        <c:axId val="827448765"/>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222216453"/>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spc="0" normalizeH="0" baseline="0">
                <a:solidFill>
                  <a:schemeClr val="dk1">
                    <a:lumMod val="50000"/>
                    <a:lumOff val="50000"/>
                  </a:schemeClr>
                </a:solidFill>
                <a:latin typeface="+mj-lt"/>
                <a:ea typeface="+mj-ea"/>
                <a:cs typeface="+mj-cs"/>
              </a:defRPr>
            </a:pPr>
            <a:r>
              <a:t>南湖站2022年度收入决算结构</a:t>
            </a:r>
          </a:p>
        </c:rich>
      </c:tx>
      <c:layout/>
      <c:overlay val="0"/>
      <c:spPr>
        <a:noFill/>
        <a:ln>
          <a:noFill/>
        </a:ln>
        <a:effectLst/>
      </c:spPr>
    </c:title>
    <c:autoTitleDeleted val="0"/>
    <c:plotArea>
      <c:layout/>
      <c:pieChart>
        <c:varyColors val="1"/>
        <c:ser>
          <c:idx val="0"/>
          <c:order val="0"/>
          <c:tx>
            <c:strRef>
              <c:f>Sheet1!$B$1</c:f>
              <c:strCache>
                <c:ptCount val="1"/>
                <c:pt idx="0">
                  <c:v>南湖站收入决算结构</c:v>
                </c:pt>
              </c:strCache>
            </c:strRef>
          </c:tx>
          <c:spPr/>
          <c:explosion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财政拨款收入</c:v>
                </c:pt>
                <c:pt idx="1">
                  <c:v>事业收入</c:v>
                </c:pt>
                <c:pt idx="2">
                  <c:v>其他收入</c:v>
                </c:pt>
              </c:strCache>
            </c:strRef>
          </c:cat>
          <c:val>
            <c:numRef>
              <c:f>Sheet1!$B$2:$B$4</c:f>
              <c:numCache>
                <c:formatCode>General</c:formatCode>
                <c:ptCount val="3"/>
                <c:pt idx="0">
                  <c:v>3909.76</c:v>
                </c:pt>
                <c:pt idx="1">
                  <c:v>316.43</c:v>
                </c:pt>
                <c:pt idx="2">
                  <c:v>8.27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600" b="1" i="0" u="none" strike="noStrike" kern="1200" spc="0" normalizeH="0" baseline="0">
              <a:solidFill>
                <a:schemeClr val="dk1">
                  <a:lumMod val="50000"/>
                  <a:lumOff val="50000"/>
                </a:schemeClr>
              </a:solidFill>
              <a:latin typeface="+mj-lt"/>
              <a:ea typeface="+mj-ea"/>
              <a:cs typeface="+mj-cs"/>
            </a:defRPr>
          </a:pPr>
        </a:p>
      </c:txPr>
    </c:title>
    <c:autoTitleDeleted val="0"/>
    <c:plotArea>
      <c:layout/>
      <c:pieChart>
        <c:varyColors val="1"/>
        <c:ser>
          <c:idx val="0"/>
          <c:order val="0"/>
          <c:tx>
            <c:strRef>
              <c:f>Sheet1!$B$1</c:f>
              <c:strCache>
                <c:ptCount val="1"/>
                <c:pt idx="0">
                  <c:v>南湖站2022年度支出决算结构</c:v>
                </c:pt>
              </c:strCache>
            </c:strRef>
          </c:tx>
          <c:spPr/>
          <c:explosion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3519.26</c:v>
                </c:pt>
                <c:pt idx="1">
                  <c:v>627.91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cap="none" spc="0" normalizeH="0" baseline="0">
                <a:solidFill>
                  <a:schemeClr val="dk1">
                    <a:lumMod val="50000"/>
                    <a:lumOff val="50000"/>
                  </a:schemeClr>
                </a:solidFill>
                <a:latin typeface="+mj-lt"/>
                <a:ea typeface="+mj-ea"/>
                <a:cs typeface="+mj-cs"/>
              </a:defRPr>
            </a:pPr>
            <a:r>
              <a:t>南湖站2022年度</a:t>
            </a:r>
          </a:p>
          <a:p>
            <a:pPr defTabSz="914400">
              <a:defRPr lang="zh-CN" sz="1600" b="1" i="0" u="none" strike="noStrike" kern="1200" cap="none" spc="0" normalizeH="0" baseline="0">
                <a:solidFill>
                  <a:schemeClr val="dk1">
                    <a:lumMod val="50000"/>
                    <a:lumOff val="50000"/>
                  </a:schemeClr>
                </a:solidFill>
                <a:latin typeface="+mj-lt"/>
                <a:ea typeface="+mj-ea"/>
                <a:cs typeface="+mj-cs"/>
              </a:defRPr>
            </a:pPr>
            <a:r>
              <a:t>财政拨款收、支决算总计变动情况</a:t>
            </a:r>
          </a:p>
        </c:rich>
      </c:tx>
      <c:layout/>
      <c:overlay val="0"/>
      <c:spPr>
        <a:noFill/>
        <a:ln>
          <a:noFill/>
        </a:ln>
        <a:effectLst/>
      </c:spPr>
    </c:title>
    <c:autoTitleDeleted val="0"/>
    <c:plotArea>
      <c:layout/>
      <c:lineChart>
        <c:grouping val="standard"/>
        <c:varyColors val="0"/>
        <c:ser>
          <c:idx val="0"/>
          <c:order val="0"/>
          <c:tx>
            <c:strRef>
              <c:f>Sheet1!$B$1</c:f>
              <c:strCache>
                <c:ptCount val="1"/>
                <c:pt idx="0">
                  <c:v>财政拨款收入</c:v>
                </c:pt>
              </c:strCache>
            </c:strRef>
          </c:tx>
          <c:spPr>
            <a:ln w="22225" cap="rnd">
              <a:solidFill>
                <a:schemeClr val="accent1"/>
              </a:solidFill>
              <a:round/>
            </a:ln>
            <a:effectLst/>
          </c:spPr>
          <c:marker>
            <c:symbol val="none"/>
          </c:marker>
          <c:dLbls>
            <c:delete val="1"/>
          </c:dLbls>
          <c:cat>
            <c:strRef>
              <c:f>Sheet1!$A$2:$A$3</c:f>
              <c:strCache>
                <c:ptCount val="2"/>
                <c:pt idx="0">
                  <c:v>2022年度</c:v>
                </c:pt>
                <c:pt idx="1">
                  <c:v>2023年度</c:v>
                </c:pt>
              </c:strCache>
            </c:strRef>
          </c:cat>
          <c:val>
            <c:numRef>
              <c:f>Sheet1!$B$2:$B$3</c:f>
              <c:numCache>
                <c:formatCode>General</c:formatCode>
                <c:ptCount val="2"/>
                <c:pt idx="0">
                  <c:v>4440.81</c:v>
                </c:pt>
                <c:pt idx="1">
                  <c:v>3909.76</c:v>
                </c:pt>
              </c:numCache>
            </c:numRef>
          </c:val>
          <c:smooth val="0"/>
        </c:ser>
        <c:ser>
          <c:idx val="1"/>
          <c:order val="1"/>
          <c:tx>
            <c:strRef>
              <c:f>Sheet1!$C$1</c:f>
              <c:strCache>
                <c:ptCount val="1"/>
                <c:pt idx="0">
                  <c:v>政府性基金预算财政拨款收入</c:v>
                </c:pt>
              </c:strCache>
            </c:strRef>
          </c:tx>
          <c:spPr>
            <a:ln w="22225" cap="rnd">
              <a:solidFill>
                <a:schemeClr val="accent2"/>
              </a:solidFill>
              <a:round/>
            </a:ln>
            <a:effectLst/>
          </c:spPr>
          <c:marker>
            <c:symbol val="none"/>
          </c:marker>
          <c:dLbls>
            <c:delete val="1"/>
          </c:dLbls>
          <c:cat>
            <c:strRef>
              <c:f>Sheet1!$A$2:$A$3</c:f>
              <c:strCache>
                <c:ptCount val="2"/>
                <c:pt idx="0">
                  <c:v>2022年度</c:v>
                </c:pt>
                <c:pt idx="1">
                  <c:v>2023年度</c:v>
                </c:pt>
              </c:strCache>
            </c:strRef>
          </c:cat>
          <c:val>
            <c:numRef>
              <c:f>Sheet1!$C$2:$C$3</c:f>
              <c:numCache>
                <c:formatCode>General</c:formatCode>
                <c:ptCount val="2"/>
                <c:pt idx="0">
                  <c:v>0</c:v>
                </c:pt>
                <c:pt idx="1">
                  <c:v>0</c:v>
                </c:pt>
              </c:numCache>
            </c:numRef>
          </c:val>
          <c:smooth val="0"/>
        </c:ser>
        <c:ser>
          <c:idx val="2"/>
          <c:order val="2"/>
          <c:tx>
            <c:strRef>
              <c:f>Sheet1!$D$1</c:f>
              <c:strCache>
                <c:ptCount val="1"/>
                <c:pt idx="0">
                  <c:v>国有资本经营预算财政拨款收入</c:v>
                </c:pt>
              </c:strCache>
            </c:strRef>
          </c:tx>
          <c:spPr>
            <a:ln w="22225" cap="rnd">
              <a:solidFill>
                <a:schemeClr val="accent3"/>
              </a:solidFill>
              <a:round/>
            </a:ln>
            <a:effectLst/>
          </c:spPr>
          <c:marker>
            <c:symbol val="none"/>
          </c:marker>
          <c:dLbls>
            <c:delete val="1"/>
          </c:dLbls>
          <c:cat>
            <c:strRef>
              <c:f>Sheet1!$A$2:$A$3</c:f>
              <c:strCache>
                <c:ptCount val="2"/>
                <c:pt idx="0">
                  <c:v>2022年度</c:v>
                </c:pt>
                <c:pt idx="1">
                  <c:v>2023年度</c:v>
                </c:pt>
              </c:strCache>
            </c:strRef>
          </c:cat>
          <c:val>
            <c:numRef>
              <c:f>Sheet1!$D$2:$D$3</c:f>
              <c:numCache>
                <c:formatCode>General</c:formatCode>
                <c:ptCount val="2"/>
                <c:pt idx="0">
                  <c:v>0</c:v>
                </c:pt>
                <c:pt idx="1">
                  <c:v>0</c:v>
                </c:pt>
              </c:numCache>
            </c:numRef>
          </c:val>
          <c:smooth val="0"/>
        </c:ser>
        <c:dLbls>
          <c:showLegendKey val="0"/>
          <c:showVal val="0"/>
          <c:showCatName val="0"/>
          <c:showSerName val="0"/>
          <c:showPercent val="0"/>
          <c:showBubbleSize val="0"/>
        </c:dLbls>
        <c:marker val="0"/>
        <c:smooth val="0"/>
        <c:axId val="222024940"/>
        <c:axId val="248437083"/>
      </c:lineChart>
      <c:catAx>
        <c:axId val="222024940"/>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majorTickMark val="none"/>
        <c:minorTickMark val="none"/>
        <c:tickLblPos val="nextTo"/>
        <c:spPr>
          <a:noFill/>
          <a:ln w="9525" cap="flat" cmpd="sng" algn="ctr">
            <a:solidFill>
              <a:schemeClr val="dk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chemeClr val="dk1">
                    <a:lumMod val="65000"/>
                    <a:lumOff val="35000"/>
                  </a:schemeClr>
                </a:solidFill>
                <a:latin typeface="+mn-lt"/>
                <a:ea typeface="+mn-ea"/>
                <a:cs typeface="+mn-cs"/>
              </a:defRPr>
            </a:pPr>
          </a:p>
        </c:txPr>
        <c:crossAx val="248437083"/>
        <c:crosses val="autoZero"/>
        <c:auto val="1"/>
        <c:lblAlgn val="ctr"/>
        <c:lblOffset val="100"/>
        <c:noMultiLvlLbl val="0"/>
      </c:catAx>
      <c:valAx>
        <c:axId val="248437083"/>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222024940"/>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4.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61F4B-50BE-41E5-8A4C-B035847EC46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83</Pages>
  <Words>29353</Words>
  <Characters>35520</Characters>
  <Lines>304</Lines>
  <Paragraphs>85</Paragraphs>
  <TotalTime>2</TotalTime>
  <ScaleCrop>false</ScaleCrop>
  <LinksUpToDate>false</LinksUpToDate>
  <CharactersWithSpaces>38131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2023-08-15T07:01:00Z</dcterms:created>
  <dc:creator></dc:creator>
  <cp:lastModifiedBy>南湖站财务</cp:lastModifiedBy>
  <cp:lastPrinted>2023-09-03T06:17:00Z</cp:lastPrinted>
  <dcterms:modified xsi:type="dcterms:W3CDTF">2024-08-27T03:28:59Z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A25B29CF15664D61A536A3888036FE39_13</vt:lpwstr>
  </property>
</Properties>
</file>